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rPr>
      </w:pPr>
      <w:r>
        <w:rPr>
          <w:b/>
          <w:bCs/>
          <w:sz w:val="24"/>
          <w:szCs w:val="24"/>
        </w:rPr>
        <w:t xml:space="preserve">LICITAÇÃO PRESENCIAL N° </w:t>
      </w:r>
      <w:r>
        <w:rPr>
          <w:rFonts w:hint="default"/>
          <w:b/>
          <w:bCs/>
          <w:sz w:val="24"/>
          <w:szCs w:val="24"/>
          <w:lang w:val="pt-BR"/>
        </w:rPr>
        <w:t>0002</w:t>
      </w:r>
      <w:r>
        <w:rPr>
          <w:b/>
          <w:bCs/>
          <w:sz w:val="24"/>
          <w:szCs w:val="24"/>
        </w:rPr>
        <w:t>/201</w:t>
      </w:r>
      <w:r>
        <w:rPr>
          <w:b/>
          <w:bCs/>
          <w:sz w:val="24"/>
          <w:szCs w:val="24"/>
          <w:lang w:val="pt-BR"/>
        </w:rPr>
        <w:t>9</w:t>
      </w:r>
      <w:r>
        <w:rPr>
          <w:b/>
          <w:bCs/>
          <w:sz w:val="24"/>
          <w:szCs w:val="24"/>
        </w:rPr>
        <w:t xml:space="preserve"> - MODO DE DISPUTA </w:t>
      </w:r>
      <w:r>
        <w:rPr>
          <w:b/>
          <w:bCs/>
          <w:sz w:val="24"/>
          <w:szCs w:val="24"/>
          <w:lang w:val="pt-BR"/>
        </w:rPr>
        <w:t>ABERTO</w:t>
      </w:r>
      <w:r>
        <w:rPr>
          <w:b/>
          <w:bCs/>
          <w:sz w:val="24"/>
          <w:szCs w:val="24"/>
        </w:rPr>
        <w:t xml:space="preserve"> </w:t>
      </w:r>
    </w:p>
    <w:p>
      <w:pPr>
        <w:spacing w:before="0"/>
        <w:ind w:left="773" w:right="774" w:firstLine="0"/>
        <w:jc w:val="center"/>
        <w:rPr>
          <w:b/>
          <w:sz w:val="24"/>
          <w:highlight w:val="none"/>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spacing w:before="0"/>
        <w:ind w:left="773" w:right="774" w:firstLine="0"/>
        <w:jc w:val="center"/>
        <w:rPr>
          <w:b/>
          <w:bCs/>
          <w:sz w:val="24"/>
          <w:szCs w:val="24"/>
          <w:lang w:val="pt-BR"/>
        </w:rPr>
      </w:pPr>
    </w:p>
    <w:p>
      <w:pPr>
        <w:pStyle w:val="6"/>
        <w:rPr>
          <w:rFonts w:hint="default" w:ascii="Arial" w:hAnsi="Arial" w:cs="Arial"/>
          <w:b/>
          <w:sz w:val="22"/>
          <w:szCs w:val="22"/>
        </w:rPr>
      </w:pPr>
    </w:p>
    <w:p>
      <w:pPr>
        <w:pStyle w:val="6"/>
        <w:ind w:left="440" w:leftChars="200" w:right="268" w:rightChars="122" w:firstLine="0" w:firstLineChars="0"/>
        <w:jc w:val="both"/>
        <w:rPr>
          <w:rFonts w:ascii="Arial" w:hAnsi="Arial" w:cs="Arial"/>
          <w:color w:val="000000" w:themeColor="text1"/>
          <w:sz w:val="22"/>
          <w:szCs w:val="22"/>
          <w:lang w:val="pt-BR"/>
          <w14:textFill>
            <w14:solidFill>
              <w14:schemeClr w14:val="tx1"/>
            </w14:solidFill>
          </w14:textFill>
        </w:rPr>
      </w:pPr>
      <w:r>
        <w:rPr>
          <w:rFonts w:ascii="Arial" w:hAnsi="Arial" w:cs="Arial"/>
          <w:b/>
          <w:bCs/>
          <w:sz w:val="22"/>
          <w:szCs w:val="22"/>
        </w:rPr>
        <w:t>OBJETO:</w:t>
      </w:r>
      <w:r>
        <w:rPr>
          <w:rFonts w:ascii="Arial" w:hAnsi="Arial" w:cs="Arial"/>
          <w:b/>
          <w:bCs/>
          <w:color w:val="FF0000"/>
          <w:sz w:val="22"/>
          <w:szCs w:val="22"/>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anexo. </w:t>
      </w:r>
    </w:p>
    <w:p>
      <w:pPr>
        <w:pStyle w:val="6"/>
        <w:ind w:left="440" w:leftChars="200" w:right="268" w:rightChars="122" w:firstLine="0" w:firstLineChars="0"/>
        <w:jc w:val="both"/>
        <w:rPr>
          <w:rFonts w:hint="default" w:ascii="Arial" w:hAnsi="Arial" w:cs="Arial"/>
          <w:sz w:val="22"/>
          <w:szCs w:val="22"/>
        </w:rPr>
      </w:pPr>
    </w:p>
    <w:p>
      <w:pPr>
        <w:pStyle w:val="6"/>
        <w:spacing w:before="1"/>
        <w:ind w:left="440" w:leftChars="200" w:right="268" w:rightChars="122" w:firstLine="0" w:firstLineChars="0"/>
        <w:rPr>
          <w:rFonts w:hint="default" w:ascii="Arial" w:hAnsi="Arial" w:cs="Arial"/>
          <w:sz w:val="22"/>
          <w:szCs w:val="22"/>
        </w:rPr>
      </w:pPr>
    </w:p>
    <w:p>
      <w:pPr>
        <w:spacing w:before="0"/>
        <w:ind w:left="440" w:leftChars="200" w:right="268" w:rightChars="122" w:firstLine="0" w:firstLineChars="0"/>
        <w:jc w:val="both"/>
        <w:rPr>
          <w:rFonts w:ascii="Arial" w:hAnsi="Arial" w:cs="Arial"/>
          <w:sz w:val="22"/>
          <w:szCs w:val="22"/>
          <w:lang w:val="pt-BR"/>
        </w:rPr>
      </w:pPr>
      <w:r>
        <w:rPr>
          <w:rFonts w:ascii="Arial" w:hAnsi="Arial" w:cs="Arial"/>
          <w:b/>
          <w:bCs/>
          <w:sz w:val="22"/>
          <w:szCs w:val="22"/>
        </w:rPr>
        <w:t xml:space="preserve">PROCESSO </w:t>
      </w:r>
      <w:r>
        <w:rPr>
          <w:rFonts w:ascii="Arial" w:hAnsi="Arial" w:cs="Arial"/>
          <w:b/>
          <w:bCs/>
          <w:sz w:val="22"/>
          <w:szCs w:val="22"/>
          <w:lang w:val="pt-BR"/>
        </w:rPr>
        <w:t>ADMINISTRATIVO</w:t>
      </w:r>
      <w:r>
        <w:rPr>
          <w:rFonts w:ascii="Arial" w:hAnsi="Arial" w:cs="Arial"/>
          <w:b/>
          <w:bCs/>
          <w:sz w:val="22"/>
          <w:szCs w:val="22"/>
        </w:rPr>
        <w:t xml:space="preserve"> N</w:t>
      </w:r>
      <w:r>
        <w:rPr>
          <w:rFonts w:ascii="Arial" w:hAnsi="Arial" w:cs="Arial"/>
          <w:sz w:val="22"/>
          <w:szCs w:val="22"/>
        </w:rPr>
        <w:t>°</w:t>
      </w:r>
      <w:r>
        <w:rPr>
          <w:rFonts w:ascii="Arial" w:hAnsi="Arial" w:cs="Arial"/>
          <w:sz w:val="22"/>
          <w:szCs w:val="22"/>
          <w:lang w:val="pt-BR"/>
        </w:rPr>
        <w:t xml:space="preserve"> </w:t>
      </w:r>
      <w:r>
        <w:rPr>
          <w:rFonts w:hint="default" w:cs="Arial"/>
          <w:sz w:val="22"/>
          <w:szCs w:val="22"/>
          <w:lang w:val="pt-BR"/>
        </w:rPr>
        <w:t>5292</w:t>
      </w:r>
      <w:r>
        <w:rPr>
          <w:rFonts w:ascii="Arial" w:hAnsi="Arial" w:cs="Arial"/>
          <w:sz w:val="22"/>
          <w:szCs w:val="22"/>
          <w:lang w:val="pt-BR"/>
        </w:rPr>
        <w:t>/201</w:t>
      </w:r>
      <w:r>
        <w:rPr>
          <w:rFonts w:cs="Arial"/>
          <w:sz w:val="22"/>
          <w:szCs w:val="22"/>
          <w:lang w:val="pt-BR"/>
        </w:rPr>
        <w:t>9</w:t>
      </w:r>
    </w:p>
    <w:p>
      <w:pPr>
        <w:pStyle w:val="6"/>
        <w:ind w:left="440" w:leftChars="200" w:right="268" w:rightChars="122" w:firstLine="0" w:firstLineChars="0"/>
        <w:rPr>
          <w:rFonts w:hint="default" w:ascii="Arial" w:hAnsi="Arial" w:cs="Arial"/>
          <w:sz w:val="22"/>
          <w:szCs w:val="22"/>
        </w:rPr>
      </w:pPr>
    </w:p>
    <w:p>
      <w:pPr>
        <w:pStyle w:val="6"/>
        <w:spacing w:before="6"/>
        <w:ind w:left="440" w:leftChars="200" w:right="268" w:rightChars="122" w:firstLine="0" w:firstLineChars="0"/>
        <w:rPr>
          <w:rFonts w:hint="default" w:ascii="Arial" w:hAnsi="Arial" w:cs="Arial"/>
          <w:sz w:val="22"/>
          <w:szCs w:val="22"/>
        </w:rPr>
      </w:pPr>
    </w:p>
    <w:p>
      <w:pPr>
        <w:pStyle w:val="6"/>
        <w:ind w:left="440" w:leftChars="200" w:right="268" w:rightChars="122" w:firstLine="0" w:firstLineChars="0"/>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921385</wp:posOffset>
                </wp:positionH>
                <wp:positionV relativeFrom="paragraph">
                  <wp:posOffset>33020</wp:posOffset>
                </wp:positionV>
                <wp:extent cx="5824220" cy="1515110"/>
                <wp:effectExtent l="4445" t="5080" r="19685" b="22860"/>
                <wp:wrapTopAndBottom/>
                <wp:docPr id="13" name="Caixa de texto 2"/>
                <wp:cNvGraphicFramePr/>
                <a:graphic xmlns:a="http://schemas.openxmlformats.org/drawingml/2006/main">
                  <a:graphicData uri="http://schemas.microsoft.com/office/word/2010/wordprocessingShape">
                    <wps:wsp>
                      <wps:cNvSpPr txBox="1"/>
                      <wps:spPr>
                        <a:xfrm>
                          <a:off x="0" y="0"/>
                          <a:ext cx="582422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6"/>
                            </w:pPr>
                          </w:p>
                          <w:p>
                            <w:pPr>
                              <w:spacing w:before="0"/>
                              <w:ind w:left="103" w:right="0" w:firstLine="0"/>
                              <w:jc w:val="left"/>
                              <w:rPr>
                                <w:b/>
                                <w:sz w:val="24"/>
                                <w:lang w:val="pt-BR"/>
                              </w:rPr>
                            </w:pPr>
                            <w:r>
                              <w:rPr>
                                <w:b/>
                                <w:sz w:val="24"/>
                              </w:rPr>
                              <w:t xml:space="preserve">DATA: </w:t>
                            </w:r>
                            <w:r>
                              <w:rPr>
                                <w:rFonts w:hint="default"/>
                                <w:b/>
                                <w:sz w:val="24"/>
                                <w:lang w:val="pt-BR"/>
                              </w:rPr>
                              <w:t>04</w:t>
                            </w:r>
                            <w:r>
                              <w:rPr>
                                <w:b/>
                                <w:sz w:val="24"/>
                              </w:rPr>
                              <w:t>/</w:t>
                            </w:r>
                            <w:r>
                              <w:rPr>
                                <w:rFonts w:hint="default"/>
                                <w:b/>
                                <w:sz w:val="24"/>
                                <w:lang w:val="pt-BR"/>
                              </w:rPr>
                              <w:t>09</w:t>
                            </w:r>
                            <w:r>
                              <w:rPr>
                                <w:b/>
                                <w:sz w:val="24"/>
                              </w:rPr>
                              <w:t>/201</w:t>
                            </w:r>
                            <w:r>
                              <w:rPr>
                                <w:b/>
                                <w:sz w:val="24"/>
                                <w:lang w:val="pt-BR"/>
                              </w:rPr>
                              <w:t>9</w:t>
                            </w:r>
                          </w:p>
                          <w:p>
                            <w:pPr>
                              <w:pStyle w:val="6"/>
                              <w:spacing w:before="10"/>
                              <w:rPr>
                                <w:sz w:val="20"/>
                              </w:rPr>
                            </w:pPr>
                          </w:p>
                          <w:p>
                            <w:pPr>
                              <w:spacing w:before="0"/>
                              <w:ind w:left="103" w:right="0" w:firstLine="0"/>
                              <w:jc w:val="left"/>
                              <w:rPr>
                                <w:b w:val="0"/>
                                <w:bCs/>
                                <w:color w:val="auto"/>
                                <w:sz w:val="24"/>
                              </w:rPr>
                            </w:pPr>
                            <w:r>
                              <w:rPr>
                                <w:b/>
                                <w:sz w:val="24"/>
                              </w:rPr>
                              <w:t>HORÁRIO:</w:t>
                            </w:r>
                            <w:r>
                              <w:rPr>
                                <w:b/>
                                <w:color w:val="auto"/>
                                <w:sz w:val="24"/>
                              </w:rPr>
                              <w:t xml:space="preserve"> </w:t>
                            </w:r>
                            <w:r>
                              <w:rPr>
                                <w:rFonts w:hint="default"/>
                                <w:b w:val="0"/>
                                <w:bCs/>
                                <w:color w:val="auto"/>
                                <w:sz w:val="24"/>
                                <w:lang w:val="pt-BR"/>
                              </w:rPr>
                              <w:t>13</w:t>
                            </w:r>
                            <w:r>
                              <w:rPr>
                                <w:b w:val="0"/>
                                <w:bCs/>
                                <w:color w:val="auto"/>
                                <w:sz w:val="24"/>
                              </w:rPr>
                              <w:t>h</w:t>
                            </w:r>
                            <w:r>
                              <w:rPr>
                                <w:rFonts w:hint="default"/>
                                <w:b w:val="0"/>
                                <w:bCs/>
                                <w:color w:val="auto"/>
                                <w:sz w:val="24"/>
                                <w:lang w:val="pt-BR"/>
                              </w:rPr>
                              <w:t>00</w:t>
                            </w:r>
                            <w:r>
                              <w:rPr>
                                <w:b w:val="0"/>
                                <w:bCs/>
                                <w:color w:val="auto"/>
                                <w:sz w:val="24"/>
                              </w:rPr>
                              <w:t xml:space="preserve">min </w:t>
                            </w:r>
                          </w:p>
                          <w:p>
                            <w:pPr>
                              <w:pStyle w:val="6"/>
                              <w:spacing w:before="10"/>
                              <w:rPr>
                                <w:color w:val="FF0000"/>
                                <w:sz w:val="20"/>
                              </w:rPr>
                            </w:pPr>
                          </w:p>
                          <w:p>
                            <w:pPr>
                              <w:pStyle w:val="6"/>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72.55pt;margin-top:2.6pt;height:119.3pt;width:458.6pt;mso-position-horizontal-relative:page;mso-wrap-distance-bottom:0pt;mso-wrap-distance-top:0pt;z-index:-1024;mso-width-relative:page;mso-height-relative:page;" filled="f" stroked="t" coordsize="21600,21600" o:gfxdata="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m4U9/WAAAACgEAAA8AAAAAAAAAAQAgAAAAIgAAAGRycy9kb3ducmV2LnhtbFBLAQIUABQAAAAI&#10;AIdO4kC249yy7wEAAOoDAAAOAAAAAAAAAAEAIAAAACU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6"/>
                      </w:pPr>
                    </w:p>
                    <w:p>
                      <w:pPr>
                        <w:spacing w:before="0"/>
                        <w:ind w:left="103" w:right="0" w:firstLine="0"/>
                        <w:jc w:val="left"/>
                        <w:rPr>
                          <w:b/>
                          <w:sz w:val="24"/>
                          <w:lang w:val="pt-BR"/>
                        </w:rPr>
                      </w:pPr>
                      <w:r>
                        <w:rPr>
                          <w:b/>
                          <w:sz w:val="24"/>
                        </w:rPr>
                        <w:t xml:space="preserve">DATA: </w:t>
                      </w:r>
                      <w:r>
                        <w:rPr>
                          <w:rFonts w:hint="default"/>
                          <w:b/>
                          <w:sz w:val="24"/>
                          <w:lang w:val="pt-BR"/>
                        </w:rPr>
                        <w:t>04</w:t>
                      </w:r>
                      <w:r>
                        <w:rPr>
                          <w:b/>
                          <w:sz w:val="24"/>
                        </w:rPr>
                        <w:t>/</w:t>
                      </w:r>
                      <w:r>
                        <w:rPr>
                          <w:rFonts w:hint="default"/>
                          <w:b/>
                          <w:sz w:val="24"/>
                          <w:lang w:val="pt-BR"/>
                        </w:rPr>
                        <w:t>09</w:t>
                      </w:r>
                      <w:r>
                        <w:rPr>
                          <w:b/>
                          <w:sz w:val="24"/>
                        </w:rPr>
                        <w:t>/201</w:t>
                      </w:r>
                      <w:r>
                        <w:rPr>
                          <w:b/>
                          <w:sz w:val="24"/>
                          <w:lang w:val="pt-BR"/>
                        </w:rPr>
                        <w:t>9</w:t>
                      </w:r>
                    </w:p>
                    <w:p>
                      <w:pPr>
                        <w:pStyle w:val="6"/>
                        <w:spacing w:before="10"/>
                        <w:rPr>
                          <w:sz w:val="20"/>
                        </w:rPr>
                      </w:pPr>
                    </w:p>
                    <w:p>
                      <w:pPr>
                        <w:spacing w:before="0"/>
                        <w:ind w:left="103" w:right="0" w:firstLine="0"/>
                        <w:jc w:val="left"/>
                        <w:rPr>
                          <w:b w:val="0"/>
                          <w:bCs/>
                          <w:color w:val="auto"/>
                          <w:sz w:val="24"/>
                        </w:rPr>
                      </w:pPr>
                      <w:r>
                        <w:rPr>
                          <w:b/>
                          <w:sz w:val="24"/>
                        </w:rPr>
                        <w:t>HORÁRIO:</w:t>
                      </w:r>
                      <w:r>
                        <w:rPr>
                          <w:b/>
                          <w:color w:val="auto"/>
                          <w:sz w:val="24"/>
                        </w:rPr>
                        <w:t xml:space="preserve"> </w:t>
                      </w:r>
                      <w:r>
                        <w:rPr>
                          <w:rFonts w:hint="default"/>
                          <w:b w:val="0"/>
                          <w:bCs/>
                          <w:color w:val="auto"/>
                          <w:sz w:val="24"/>
                          <w:lang w:val="pt-BR"/>
                        </w:rPr>
                        <w:t>13</w:t>
                      </w:r>
                      <w:r>
                        <w:rPr>
                          <w:b w:val="0"/>
                          <w:bCs/>
                          <w:color w:val="auto"/>
                          <w:sz w:val="24"/>
                        </w:rPr>
                        <w:t>h</w:t>
                      </w:r>
                      <w:r>
                        <w:rPr>
                          <w:rFonts w:hint="default"/>
                          <w:b w:val="0"/>
                          <w:bCs/>
                          <w:color w:val="auto"/>
                          <w:sz w:val="24"/>
                          <w:lang w:val="pt-BR"/>
                        </w:rPr>
                        <w:t>00</w:t>
                      </w:r>
                      <w:r>
                        <w:rPr>
                          <w:b w:val="0"/>
                          <w:bCs/>
                          <w:color w:val="auto"/>
                          <w:sz w:val="24"/>
                        </w:rPr>
                        <w:t xml:space="preserve">min </w:t>
                      </w:r>
                    </w:p>
                    <w:p>
                      <w:pPr>
                        <w:pStyle w:val="6"/>
                        <w:spacing w:before="10"/>
                        <w:rPr>
                          <w:color w:val="FF0000"/>
                          <w:sz w:val="20"/>
                        </w:rPr>
                      </w:pPr>
                    </w:p>
                    <w:p>
                      <w:pPr>
                        <w:pStyle w:val="6"/>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6"/>
        <w:ind w:left="440" w:leftChars="200" w:right="268" w:rightChars="122" w:firstLine="0" w:firstLineChars="0"/>
        <w:rPr>
          <w:rFonts w:hint="default" w:ascii="Arial" w:hAnsi="Arial" w:cs="Arial"/>
          <w:b/>
          <w:sz w:val="22"/>
          <w:szCs w:val="22"/>
        </w:rPr>
      </w:pPr>
    </w:p>
    <w:p>
      <w:pPr>
        <w:pStyle w:val="19"/>
        <w:numPr>
          <w:ilvl w:val="0"/>
          <w:numId w:val="1"/>
        </w:numPr>
        <w:tabs>
          <w:tab w:val="left" w:pos="660"/>
        </w:tabs>
        <w:spacing w:before="1" w:after="0" w:line="240" w:lineRule="auto"/>
        <w:ind w:left="440" w:leftChars="200" w:right="268" w:rightChars="122" w:firstLine="0" w:firstLineChars="0"/>
        <w:jc w:val="left"/>
        <w:rPr>
          <w:rFonts w:ascii="Arial" w:hAnsi="Arial" w:cs="Arial"/>
          <w:b/>
          <w:bCs/>
          <w:sz w:val="22"/>
          <w:szCs w:val="22"/>
        </w:rPr>
      </w:pPr>
      <w:r>
        <w:rPr>
          <w:rFonts w:ascii="Arial" w:hAnsi="Arial" w:cs="Arial"/>
          <w:b/>
          <w:bCs/>
          <w:sz w:val="22"/>
          <w:szCs w:val="22"/>
        </w:rPr>
        <w:t>INTRODUÇÃO</w:t>
      </w:r>
    </w:p>
    <w:p>
      <w:pPr>
        <w:pStyle w:val="6"/>
        <w:spacing w:before="11"/>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 com fundamento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rPr>
        <w:t>http://www.coden.com.br/licitacoes2.php</w:t>
      </w:r>
      <w:r>
        <w:rPr>
          <w:rFonts w:ascii="Arial" w:hAnsi="Arial" w:cs="Arial"/>
          <w:color w:val="0462C1"/>
          <w:sz w:val="22"/>
          <w:szCs w:val="22"/>
          <w:u w:val="none"/>
          <w:lang w:val="pt-BR"/>
        </w:rPr>
        <w:t xml:space="preserve"> </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 xml:space="preserve">Presencial </w:t>
      </w:r>
      <w:r>
        <w:rPr>
          <w:rFonts w:ascii="Arial" w:hAnsi="Arial" w:cs="Arial"/>
          <w:b/>
          <w:bCs/>
          <w:sz w:val="22"/>
          <w:szCs w:val="22"/>
        </w:rPr>
        <w:t xml:space="preserve">n° </w:t>
      </w:r>
      <w:r>
        <w:rPr>
          <w:rFonts w:hint="default" w:cs="Arial"/>
          <w:b/>
          <w:bCs/>
          <w:sz w:val="22"/>
          <w:szCs w:val="22"/>
          <w:lang w:val="pt-BR"/>
        </w:rPr>
        <w:t>0002</w:t>
      </w:r>
      <w:r>
        <w:rPr>
          <w:rFonts w:ascii="Arial" w:hAnsi="Arial" w:cs="Arial"/>
          <w:b/>
          <w:bCs/>
          <w:sz w:val="22"/>
          <w:szCs w:val="22"/>
        </w:rPr>
        <w:t>/</w:t>
      </w:r>
      <w:r>
        <w:rPr>
          <w:rFonts w:cs="Arial"/>
          <w:b/>
          <w:bCs/>
          <w:sz w:val="22"/>
          <w:szCs w:val="22"/>
          <w:lang w:val="pt-BR"/>
        </w:rPr>
        <w:t>2019</w:t>
      </w:r>
      <w:r>
        <w:rPr>
          <w:rFonts w:ascii="Arial" w:hAnsi="Arial" w:cs="Arial"/>
          <w:b/>
          <w:bCs/>
          <w:sz w:val="22"/>
          <w:szCs w:val="22"/>
        </w:rPr>
        <w:t xml:space="preserve"> - MODO DE DISPUTA </w:t>
      </w:r>
      <w:r>
        <w:rPr>
          <w:rFonts w:ascii="Arial" w:hAnsi="Arial" w:cs="Arial"/>
          <w:b/>
          <w:bCs/>
          <w:sz w:val="22"/>
          <w:szCs w:val="22"/>
          <w:lang w:val="pt-BR"/>
        </w:rPr>
        <w:t>ABERTO</w:t>
      </w:r>
      <w:r>
        <w:rPr>
          <w:rFonts w:ascii="Arial" w:hAnsi="Arial" w:cs="Arial"/>
          <w:b/>
          <w:bCs/>
          <w:sz w:val="22"/>
          <w:szCs w:val="22"/>
        </w:rPr>
        <w:t xml:space="preserve"> </w:t>
      </w:r>
      <w:r>
        <w:rPr>
          <w:rFonts w:ascii="Arial" w:hAnsi="Arial" w:cs="Arial"/>
          <w:sz w:val="22"/>
          <w:szCs w:val="22"/>
        </w:rPr>
        <w:t xml:space="preserve">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6"/>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junto à Comissão Permanente de Licitação – CPEL,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93"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6"/>
        <w:spacing w:before="11"/>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19"/>
        <w:numPr>
          <w:ilvl w:val="1"/>
          <w:numId w:val="1"/>
        </w:numPr>
        <w:tabs>
          <w:tab w:val="left" w:pos="1430"/>
        </w:tabs>
        <w:spacing w:before="0" w:after="0" w:line="259" w:lineRule="auto"/>
        <w:ind w:left="440" w:leftChars="200" w:right="268" w:rightChars="122" w:firstLine="0" w:firstLineChars="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2"/>
        <w:numPr>
          <w:ilvl w:val="0"/>
          <w:numId w:val="1"/>
        </w:numPr>
        <w:tabs>
          <w:tab w:val="left" w:pos="723"/>
        </w:tabs>
        <w:spacing w:before="160" w:after="0" w:line="240" w:lineRule="auto"/>
        <w:ind w:left="440" w:leftChars="200" w:right="268" w:rightChars="122" w:firstLine="0"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 xml:space="preserve">A presente licitação reger-se-á pela Lei Federal n° 13.303, de 01 de julho de 2016, </w:t>
      </w:r>
      <w:r>
        <w:rPr>
          <w:rFonts w:ascii="Arial" w:hAnsi="Arial" w:cs="Arial"/>
          <w:sz w:val="22"/>
          <w:szCs w:val="22"/>
          <w:lang w:val="pt-BR"/>
        </w:rPr>
        <w:t xml:space="preserve">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eletrônico</w:t>
      </w:r>
      <w:r>
        <w:rPr>
          <w:rFonts w:cs="Arial"/>
          <w:sz w:val="22"/>
          <w:szCs w:val="22"/>
          <w:lang w:val="pt-BR"/>
        </w:rPr>
        <w:t xml:space="preserve">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88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DO OBJETO</w:t>
      </w:r>
    </w:p>
    <w:p>
      <w:pPr>
        <w:pStyle w:val="6"/>
        <w:ind w:left="440" w:leftChars="200" w:right="268" w:rightChars="122" w:firstLine="0" w:firstLineChars="0"/>
        <w:rPr>
          <w:rFonts w:hint="default" w:ascii="Arial" w:hAnsi="Arial" w:cs="Arial"/>
          <w:b/>
          <w:sz w:val="22"/>
          <w:szCs w:val="22"/>
        </w:rPr>
      </w:pPr>
    </w:p>
    <w:p>
      <w:pPr>
        <w:pStyle w:val="6"/>
        <w:ind w:left="440" w:leftChars="200" w:right="268" w:rightChars="122" w:firstLine="0" w:firstLineChars="0"/>
        <w:jc w:val="both"/>
        <w:rPr>
          <w:rFonts w:cs="Arial"/>
          <w:color w:val="000000" w:themeColor="text1"/>
          <w:sz w:val="22"/>
          <w:szCs w:val="22"/>
          <w:lang w:val="pt-BR"/>
          <w14:textFill>
            <w14:solidFill>
              <w14:schemeClr w14:val="tx1"/>
            </w14:solidFill>
          </w14:textFill>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color w:val="000000" w:themeColor="text1"/>
          <w:sz w:val="22"/>
          <w:szCs w:val="22"/>
          <w14:textFill>
            <w14:solidFill>
              <w14:schemeClr w14:val="tx1"/>
            </w14:solidFill>
          </w14:textFill>
        </w:rPr>
        <w:t>a</w:t>
      </w:r>
      <w:r>
        <w:rPr>
          <w:rFonts w:cs="Arial"/>
          <w:color w:val="000000" w:themeColor="text1"/>
          <w:sz w:val="22"/>
          <w:szCs w:val="22"/>
          <w:lang w:val="pt-BR"/>
          <w14:textFill>
            <w14:solidFill>
              <w14:schemeClr w14:val="tx1"/>
            </w14:solidFill>
          </w14:textFill>
        </w:rPr>
        <w:t xml:space="preserve"> Contratação de empresa especializada para a elaboração do Plano de Segurança de Barragem - PSB de 4 barragens, visando o cumprimento da lei 12.334, de 20 de setembro de 2010.</w:t>
      </w:r>
    </w:p>
    <w:p>
      <w:pPr>
        <w:pStyle w:val="6"/>
        <w:ind w:left="440" w:leftChars="200" w:right="268" w:rightChars="122" w:firstLine="0" w:firstLineChars="0"/>
        <w:jc w:val="both"/>
        <w:rPr>
          <w:rFonts w:hint="default" w:cs="Arial"/>
          <w:color w:val="000000" w:themeColor="text1"/>
          <w:sz w:val="22"/>
          <w:szCs w:val="22"/>
          <w:lang w:val="pt-BR"/>
          <w14:textFill>
            <w14:solidFill>
              <w14:schemeClr w14:val="tx1"/>
            </w14:solidFill>
          </w14:textFill>
        </w:rPr>
      </w:pPr>
    </w:p>
    <w:p>
      <w:pPr>
        <w:pStyle w:val="19"/>
        <w:numPr>
          <w:ilvl w:val="0"/>
          <w:numId w:val="0"/>
        </w:numPr>
        <w:tabs>
          <w:tab w:val="left" w:pos="1429"/>
          <w:tab w:val="left" w:pos="1430"/>
        </w:tabs>
        <w:spacing w:before="0" w:after="0" w:line="240" w:lineRule="auto"/>
        <w:ind w:left="440" w:leftChars="200" w:right="268" w:rightChars="122" w:firstLine="0" w:firstLineChars="0"/>
        <w:jc w:val="both"/>
        <w:rPr>
          <w:rFonts w:ascii="Arial" w:hAnsi="Arial" w:cs="Arial"/>
          <w:color w:val="auto"/>
          <w:sz w:val="22"/>
          <w:szCs w:val="22"/>
        </w:rPr>
      </w:pPr>
      <w:r>
        <w:rPr>
          <w:rFonts w:cs="Arial"/>
          <w:color w:val="auto"/>
          <w:sz w:val="22"/>
          <w:szCs w:val="22"/>
          <w:lang w:val="pt-BR"/>
        </w:rPr>
        <w:t xml:space="preserve">3.2. </w:t>
      </w:r>
      <w:r>
        <w:rPr>
          <w:rFonts w:ascii="Arial" w:hAnsi="Arial" w:cs="Arial"/>
          <w:color w:val="auto"/>
          <w:sz w:val="22"/>
          <w:szCs w:val="22"/>
        </w:rPr>
        <w:t>Regime de execução: empreitada por preço</w:t>
      </w:r>
      <w:r>
        <w:rPr>
          <w:rFonts w:ascii="Arial" w:hAnsi="Arial" w:cs="Arial"/>
          <w:color w:val="auto"/>
          <w:spacing w:val="-5"/>
          <w:sz w:val="22"/>
          <w:szCs w:val="22"/>
        </w:rPr>
        <w:t xml:space="preserve"> </w:t>
      </w:r>
      <w:r>
        <w:rPr>
          <w:rFonts w:cs="Arial"/>
          <w:color w:val="auto"/>
          <w:spacing w:val="-5"/>
          <w:sz w:val="22"/>
          <w:szCs w:val="22"/>
          <w:lang w:val="pt-BR"/>
        </w:rPr>
        <w:t>global;</w:t>
      </w:r>
    </w:p>
    <w:p>
      <w:pPr>
        <w:pStyle w:val="6"/>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2"/>
        <w:numPr>
          <w:ilvl w:val="0"/>
          <w:numId w:val="1"/>
        </w:numPr>
        <w:tabs>
          <w:tab w:val="left" w:pos="1429"/>
          <w:tab w:val="left" w:pos="1430"/>
        </w:tabs>
        <w:spacing w:before="0" w:after="0" w:line="240" w:lineRule="auto"/>
        <w:ind w:left="440" w:leftChars="200" w:right="268" w:rightChars="122"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6"/>
        <w:spacing w:before="1"/>
        <w:ind w:left="440" w:leftChars="200" w:right="268" w:rightChars="122" w:firstLine="0" w:firstLineChars="0"/>
        <w:rPr>
          <w:rFonts w:hint="default" w:ascii="Arial" w:hAnsi="Arial" w:cs="Arial"/>
          <w:b/>
          <w:color w:val="000000" w:themeColor="text1"/>
          <w:sz w:val="22"/>
          <w:szCs w:val="22"/>
          <w14:textFill>
            <w14:solidFill>
              <w14:schemeClr w14:val="tx1"/>
            </w14:solidFill>
          </w14:textFill>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cuidados da Comissão Permanente de Licitação – CPEL, sempre por escrito</w:t>
      </w:r>
      <w:r>
        <w:rPr>
          <w:rFonts w:cs="Arial"/>
          <w:sz w:val="22"/>
          <w:szCs w:val="22"/>
          <w:lang w:val="pt-BR"/>
        </w:rPr>
        <w:t xml:space="preserve">. </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660"/>
          <w:tab w:val="left" w:pos="880"/>
        </w:tabs>
        <w:spacing w:before="0" w:after="0" w:line="240" w:lineRule="auto"/>
        <w:ind w:left="440" w:leftChars="200" w:right="268" w:rightChars="122" w:firstLine="0" w:firstLineChars="0"/>
        <w:jc w:val="both"/>
        <w:rPr>
          <w:rFonts w:cs="Arial"/>
          <w:sz w:val="22"/>
          <w:szCs w:val="22"/>
          <w:lang w:val="pt-BR"/>
        </w:rPr>
      </w:pPr>
      <w:r>
        <w:rPr>
          <w:rFonts w:cs="Arial"/>
          <w:sz w:val="22"/>
          <w:szCs w:val="22"/>
          <w:lang w:val="pt-BR"/>
        </w:rPr>
        <w:t xml:space="preserve">Os pedidos de </w:t>
      </w:r>
      <w:r>
        <w:rPr>
          <w:rFonts w:cs="Arial"/>
          <w:b/>
          <w:bCs/>
          <w:sz w:val="22"/>
          <w:szCs w:val="22"/>
          <w:lang w:val="pt-BR"/>
        </w:rPr>
        <w:t>esclarecimentos</w:t>
      </w:r>
      <w:r>
        <w:rPr>
          <w:rFonts w:ascii="Arial" w:hAnsi="Arial" w:cs="Arial"/>
          <w:sz w:val="22"/>
          <w:szCs w:val="22"/>
        </w:rPr>
        <w:t xml:space="preserve"> relativos a esta licitação pode</w:t>
      </w:r>
      <w:r>
        <w:rPr>
          <w:rFonts w:cs="Arial"/>
          <w:sz w:val="22"/>
          <w:szCs w:val="22"/>
          <w:lang w:val="pt-BR"/>
        </w:rPr>
        <w:t>rão</w:t>
      </w:r>
      <w:r>
        <w:rPr>
          <w:rFonts w:ascii="Arial" w:hAnsi="Arial" w:cs="Arial"/>
          <w:sz w:val="22"/>
          <w:szCs w:val="22"/>
        </w:rPr>
        <w:t xml:space="preserve"> ser encaminhad</w:t>
      </w:r>
      <w:r>
        <w:rPr>
          <w:rFonts w:cs="Arial"/>
          <w:sz w:val="22"/>
          <w:szCs w:val="22"/>
          <w:lang w:val="pt-BR"/>
        </w:rPr>
        <w:t>os</w:t>
      </w:r>
      <w:r>
        <w:rPr>
          <w:rFonts w:ascii="Arial" w:hAnsi="Arial" w:cs="Arial"/>
          <w:sz w:val="22"/>
          <w:szCs w:val="22"/>
        </w:rPr>
        <w:t xml:space="preserve"> por e-mail</w:t>
      </w:r>
      <w:r>
        <w:rPr>
          <w:rFonts w:hint="default" w:cs="Arial"/>
          <w:sz w:val="22"/>
          <w:szCs w:val="22"/>
          <w:lang w:val="pt-BR"/>
        </w:rPr>
        <w:t>:</w:t>
      </w:r>
      <w:r>
        <w:rPr>
          <w:rFonts w:ascii="Arial" w:hAnsi="Arial" w:cs="Arial"/>
          <w:sz w:val="22"/>
          <w:szCs w:val="22"/>
        </w:rPr>
        <w:t xml:space="preserve"> </w:t>
      </w:r>
      <w:r>
        <w:rPr>
          <w:rFonts w:cs="Arial"/>
          <w:sz w:val="22"/>
          <w:szCs w:val="22"/>
          <w:lang w:val="pt-BR"/>
        </w:rPr>
        <w:t>rformaggio</w:t>
      </w:r>
      <w:r>
        <w:rPr>
          <w:rFonts w:ascii="Arial" w:hAnsi="Arial" w:cs="Arial"/>
          <w:sz w:val="22"/>
          <w:szCs w:val="22"/>
        </w:rPr>
        <w:t>@</w:t>
      </w:r>
      <w:r>
        <w:rPr>
          <w:rFonts w:ascii="Arial" w:hAnsi="Arial" w:cs="Arial"/>
          <w:sz w:val="22"/>
          <w:szCs w:val="22"/>
          <w:lang w:val="pt-BR"/>
        </w:rPr>
        <w:t>coden.com.br</w:t>
      </w:r>
      <w:r>
        <w:rPr>
          <w:rFonts w:ascii="Arial" w:hAnsi="Arial" w:cs="Arial"/>
          <w:sz w:val="22"/>
          <w:szCs w:val="22"/>
        </w:rPr>
        <w:t xml:space="preserve"> ou mediante protocolo junto </w:t>
      </w:r>
      <w:r>
        <w:rPr>
          <w:rFonts w:ascii="Arial" w:hAnsi="Arial" w:cs="Arial"/>
          <w:sz w:val="22"/>
          <w:szCs w:val="22"/>
          <w:lang w:val="pt-BR"/>
        </w:rPr>
        <w:t>ao Departamento de Compras</w:t>
      </w:r>
      <w:r>
        <w:rPr>
          <w:rFonts w:cs="Arial"/>
          <w:sz w:val="22"/>
          <w:szCs w:val="22"/>
          <w:lang w:val="pt-BR"/>
        </w:rPr>
        <w:t xml:space="preserve"> da CODEN</w:t>
      </w:r>
      <w:r>
        <w:rPr>
          <w:rFonts w:ascii="Arial" w:hAnsi="Arial" w:cs="Arial"/>
          <w:sz w:val="22"/>
          <w:szCs w:val="22"/>
        </w:rPr>
        <w:t>, nos dias e horários de expediente administrativo</w:t>
      </w:r>
      <w:r>
        <w:rPr>
          <w:rFonts w:cs="Arial"/>
          <w:sz w:val="22"/>
          <w:szCs w:val="22"/>
          <w:lang w:val="pt-BR"/>
        </w:rPr>
        <w:t xml:space="preserve">, com antecedência mínima de </w:t>
      </w:r>
      <w:r>
        <w:rPr>
          <w:rFonts w:cs="Arial"/>
          <w:b/>
          <w:bCs/>
          <w:sz w:val="22"/>
          <w:szCs w:val="22"/>
          <w:lang w:val="pt-BR"/>
        </w:rPr>
        <w:t>até 2 (dois) dias úteis</w:t>
      </w:r>
      <w:r>
        <w:rPr>
          <w:rFonts w:cs="Arial"/>
          <w:sz w:val="22"/>
          <w:szCs w:val="22"/>
          <w:lang w:val="pt-BR"/>
        </w:rPr>
        <w:t xml:space="preserve"> antes da data fixada para recebimento dos envelopes e abertura da sessão pública.</w:t>
      </w:r>
    </w:p>
    <w:p>
      <w:pPr>
        <w:pStyle w:val="6"/>
        <w:spacing w:before="1"/>
        <w:ind w:left="440" w:leftChars="200" w:right="268" w:rightChars="122" w:firstLine="0" w:firstLineChars="0"/>
        <w:rPr>
          <w:rFonts w:hint="default" w:ascii="Arial" w:hAnsi="Arial" w:cs="Arial"/>
          <w:sz w:val="22"/>
          <w:szCs w:val="22"/>
        </w:rPr>
      </w:pPr>
    </w:p>
    <w:p>
      <w:pPr>
        <w:pStyle w:val="19"/>
        <w:numPr>
          <w:ilvl w:val="2"/>
          <w:numId w:val="1"/>
        </w:numPr>
        <w:tabs>
          <w:tab w:val="left" w:pos="132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6"/>
        <w:ind w:left="440" w:leftChars="200" w:right="268" w:rightChars="122" w:firstLine="0" w:firstLineChars="0"/>
        <w:rPr>
          <w:rFonts w:hint="default" w:ascii="Arial" w:hAnsi="Arial" w:cs="Arial"/>
          <w:sz w:val="22"/>
          <w:szCs w:val="22"/>
        </w:rPr>
      </w:pPr>
    </w:p>
    <w:p>
      <w:pPr>
        <w:pStyle w:val="19"/>
        <w:numPr>
          <w:ilvl w:val="2"/>
          <w:numId w:val="1"/>
        </w:numPr>
        <w:tabs>
          <w:tab w:val="left" w:pos="132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19"/>
        <w:numPr>
          <w:ilvl w:val="0"/>
          <w:numId w:val="0"/>
        </w:numPr>
        <w:tabs>
          <w:tab w:val="left" w:pos="1320"/>
        </w:tabs>
        <w:spacing w:before="0" w:after="0" w:line="240" w:lineRule="auto"/>
        <w:ind w:left="440" w:leftChars="200" w:right="268" w:rightChars="122" w:firstLine="0" w:firstLineChars="0"/>
        <w:jc w:val="both"/>
        <w:rPr>
          <w:rFonts w:ascii="Arial" w:hAnsi="Arial" w:cs="Arial"/>
          <w:sz w:val="22"/>
          <w:szCs w:val="22"/>
        </w:rPr>
      </w:pPr>
    </w:p>
    <w:p>
      <w:pPr>
        <w:pStyle w:val="19"/>
        <w:numPr>
          <w:ilvl w:val="2"/>
          <w:numId w:val="1"/>
        </w:numPr>
        <w:tabs>
          <w:tab w:val="left" w:pos="132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respondidos</w:t>
      </w:r>
      <w:r>
        <w:rPr>
          <w:rFonts w:ascii="Arial" w:hAnsi="Arial" w:cs="Arial"/>
          <w:spacing w:val="-20"/>
          <w:sz w:val="22"/>
          <w:szCs w:val="22"/>
        </w:rPr>
        <w:t xml:space="preserve"> </w:t>
      </w:r>
      <w:r>
        <w:rPr>
          <w:rFonts w:ascii="Arial" w:hAnsi="Arial" w:cs="Arial"/>
          <w:sz w:val="22"/>
          <w:szCs w:val="22"/>
        </w:rPr>
        <w:t>pela</w:t>
      </w:r>
      <w:r>
        <w:rPr>
          <w:rFonts w:ascii="Arial" w:hAnsi="Arial" w:cs="Arial"/>
          <w:spacing w:val="-18"/>
          <w:sz w:val="22"/>
          <w:szCs w:val="22"/>
        </w:rPr>
        <w:t xml:space="preserve"> </w:t>
      </w:r>
      <w:r>
        <w:rPr>
          <w:rFonts w:ascii="Arial" w:hAnsi="Arial" w:cs="Arial"/>
          <w:sz w:val="22"/>
          <w:szCs w:val="22"/>
        </w:rPr>
        <w:t>Comissão</w:t>
      </w:r>
      <w:r>
        <w:rPr>
          <w:rFonts w:ascii="Arial" w:hAnsi="Arial" w:cs="Arial"/>
          <w:spacing w:val="-18"/>
          <w:sz w:val="22"/>
          <w:szCs w:val="22"/>
        </w:rPr>
        <w:t xml:space="preserve"> </w:t>
      </w:r>
      <w:r>
        <w:rPr>
          <w:rFonts w:ascii="Arial" w:hAnsi="Arial" w:cs="Arial"/>
          <w:sz w:val="22"/>
          <w:szCs w:val="22"/>
        </w:rPr>
        <w:t>Permanente de Licitação – CPEL, com 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6"/>
          <w:rFonts w:ascii="Arial" w:hAnsi="Arial" w:cs="Arial"/>
          <w:color w:val="0462C1"/>
          <w:sz w:val="22"/>
          <w:szCs w:val="22"/>
        </w:rPr>
        <w:t>www.</w:t>
      </w:r>
      <w:r>
        <w:rPr>
          <w:rStyle w:val="16"/>
          <w:rFonts w:ascii="Arial" w:hAnsi="Arial" w:cs="Arial"/>
          <w:color w:val="0462C1"/>
          <w:sz w:val="22"/>
          <w:szCs w:val="22"/>
          <w:lang w:val="pt-BR"/>
        </w:rPr>
        <w:t>coden</w:t>
      </w:r>
      <w:r>
        <w:rPr>
          <w:rStyle w:val="16"/>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19"/>
        <w:numPr>
          <w:ilvl w:val="0"/>
          <w:numId w:val="0"/>
        </w:numPr>
        <w:tabs>
          <w:tab w:val="left" w:pos="2138"/>
        </w:tabs>
        <w:spacing w:before="0" w:after="0" w:line="240" w:lineRule="auto"/>
        <w:ind w:left="440" w:leftChars="200" w:right="268" w:rightChars="122" w:firstLine="0" w:firstLineChars="0"/>
        <w:jc w:val="both"/>
        <w:rPr>
          <w:rFonts w:ascii="Arial" w:hAnsi="Arial" w:cs="Arial"/>
          <w:sz w:val="22"/>
          <w:szCs w:val="22"/>
        </w:rPr>
      </w:pPr>
    </w:p>
    <w:p>
      <w:pPr>
        <w:pStyle w:val="19"/>
        <w:numPr>
          <w:ilvl w:val="1"/>
          <w:numId w:val="1"/>
        </w:numPr>
        <w:tabs>
          <w:tab w:val="left" w:pos="1320"/>
        </w:tabs>
        <w:spacing w:before="0" w:after="0" w:line="240" w:lineRule="auto"/>
        <w:ind w:left="440" w:leftChars="200" w:right="268" w:rightChars="122" w:firstLine="0" w:firstLineChars="0"/>
        <w:jc w:val="both"/>
        <w:rPr>
          <w:rFonts w:ascii="Arial" w:hAnsi="Arial" w:cs="Arial"/>
          <w:sz w:val="22"/>
          <w:szCs w:val="22"/>
        </w:rPr>
      </w:pPr>
      <w:r>
        <w:rPr>
          <w:rFonts w:cs="Arial"/>
          <w:sz w:val="22"/>
          <w:szCs w:val="22"/>
          <w:lang w:val="pt-BR"/>
        </w:rPr>
        <w:t xml:space="preserve"> </w:t>
      </w:r>
      <w:r>
        <w:rPr>
          <w:rFonts w:ascii="Arial" w:hAnsi="Arial" w:cs="Arial"/>
          <w:sz w:val="22"/>
          <w:szCs w:val="22"/>
        </w:rPr>
        <w:t>As</w:t>
      </w:r>
      <w:r>
        <w:rPr>
          <w:rFonts w:ascii="Arial" w:hAnsi="Arial" w:cs="Arial"/>
          <w:b/>
          <w:bCs/>
          <w:sz w:val="22"/>
          <w:szCs w:val="22"/>
        </w:rPr>
        <w:t xml:space="preserve"> impugnações </w:t>
      </w:r>
      <w:r>
        <w:rPr>
          <w:rFonts w:ascii="Arial" w:hAnsi="Arial" w:cs="Arial"/>
          <w:sz w:val="22"/>
          <w:szCs w:val="22"/>
        </w:rPr>
        <w:t xml:space="preserve">deverão ser </w:t>
      </w:r>
      <w:r>
        <w:rPr>
          <w:rFonts w:cs="Arial"/>
          <w:sz w:val="22"/>
          <w:szCs w:val="22"/>
          <w:lang w:val="pt-BR"/>
        </w:rPr>
        <w:t>apresentadas</w:t>
      </w:r>
      <w:r>
        <w:rPr>
          <w:rFonts w:ascii="Arial" w:hAnsi="Arial" w:cs="Arial"/>
          <w:sz w:val="22"/>
          <w:szCs w:val="22"/>
        </w:rPr>
        <w:t xml:space="preserve"> com antecedência mínima de até </w:t>
      </w:r>
      <w:r>
        <w:rPr>
          <w:rFonts w:ascii="Arial" w:hAnsi="Arial" w:cs="Arial"/>
          <w:b/>
          <w:bCs/>
          <w:sz w:val="22"/>
          <w:szCs w:val="22"/>
        </w:rPr>
        <w:t>5 (cinco) dias úteis antes da data fixada para recebimento dos envelopes</w:t>
      </w:r>
      <w:r>
        <w:rPr>
          <w:rFonts w:ascii="Arial" w:hAnsi="Arial" w:cs="Arial"/>
          <w:sz w:val="22"/>
          <w:szCs w:val="22"/>
        </w:rPr>
        <w:t xml:space="preserve"> e abertura da sessão</w:t>
      </w:r>
      <w:r>
        <w:rPr>
          <w:rFonts w:ascii="Arial" w:hAnsi="Arial" w:cs="Arial"/>
          <w:spacing w:val="-6"/>
          <w:sz w:val="22"/>
          <w:szCs w:val="22"/>
        </w:rPr>
        <w:t xml:space="preserve"> </w:t>
      </w:r>
      <w:r>
        <w:rPr>
          <w:rFonts w:ascii="Arial" w:hAnsi="Arial" w:cs="Arial"/>
          <w:sz w:val="22"/>
          <w:szCs w:val="22"/>
        </w:rPr>
        <w:t>pública</w:t>
      </w:r>
      <w:r>
        <w:rPr>
          <w:rFonts w:cs="Arial"/>
          <w:sz w:val="22"/>
          <w:szCs w:val="22"/>
          <w:lang w:val="pt-BR"/>
        </w:rPr>
        <w:t xml:space="preserve">, e </w:t>
      </w:r>
      <w:r>
        <w:rPr>
          <w:rFonts w:ascii="Arial" w:hAnsi="Arial" w:cs="Arial"/>
          <w:sz w:val="22"/>
          <w:szCs w:val="22"/>
        </w:rPr>
        <w:t xml:space="preserve">deverá ser protocolada junto </w:t>
      </w:r>
      <w:r>
        <w:rPr>
          <w:rFonts w:cs="Arial"/>
          <w:sz w:val="22"/>
          <w:szCs w:val="22"/>
          <w:lang w:val="pt-BR"/>
        </w:rPr>
        <w:t>ao Departamento de Compras da CODEN</w:t>
      </w:r>
      <w:r>
        <w:rPr>
          <w:rFonts w:ascii="Arial" w:hAnsi="Arial" w:cs="Arial"/>
          <w:sz w:val="22"/>
          <w:szCs w:val="22"/>
        </w:rPr>
        <w:t>, nos dias e horários de expediente administrativo</w:t>
      </w:r>
    </w:p>
    <w:p>
      <w:pPr>
        <w:pStyle w:val="6"/>
        <w:spacing w:before="11"/>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 xml:space="preserve">Admite-se impugnação por intermédio do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r>
        <w:rPr>
          <w:rFonts w:cs="Arial"/>
          <w:sz w:val="22"/>
          <w:szCs w:val="22"/>
          <w:lang w:val="pt-BR"/>
        </w:rPr>
        <w:t>;</w:t>
      </w:r>
    </w:p>
    <w:p>
      <w:pPr>
        <w:pStyle w:val="19"/>
        <w:numPr>
          <w:ilvl w:val="0"/>
          <w:numId w:val="0"/>
        </w:numPr>
        <w:spacing w:before="0" w:after="0" w:line="240" w:lineRule="auto"/>
        <w:ind w:left="440" w:leftChars="200" w:right="268" w:rightChars="122" w:firstLine="0" w:firstLineChars="0"/>
        <w:jc w:val="both"/>
        <w:rPr>
          <w:rFonts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As</w:t>
      </w:r>
      <w:r>
        <w:rPr>
          <w:rFonts w:ascii="Arial" w:hAnsi="Arial" w:cs="Arial"/>
          <w:spacing w:val="-12"/>
          <w:sz w:val="22"/>
          <w:szCs w:val="22"/>
        </w:rPr>
        <w:t xml:space="preserve"> </w:t>
      </w:r>
      <w:r>
        <w:rPr>
          <w:rFonts w:ascii="Arial" w:hAnsi="Arial" w:cs="Arial"/>
          <w:sz w:val="22"/>
          <w:szCs w:val="22"/>
        </w:rPr>
        <w:t>impugnações</w:t>
      </w:r>
      <w:r>
        <w:rPr>
          <w:rFonts w:ascii="Arial" w:hAnsi="Arial" w:cs="Arial"/>
          <w:spacing w:val="-12"/>
          <w:sz w:val="22"/>
          <w:szCs w:val="22"/>
        </w:rPr>
        <w:t xml:space="preserve"> </w:t>
      </w:r>
      <w:r>
        <w:rPr>
          <w:rFonts w:ascii="Arial" w:hAnsi="Arial" w:cs="Arial"/>
          <w:sz w:val="22"/>
          <w:szCs w:val="22"/>
        </w:rPr>
        <w:t>serão</w:t>
      </w:r>
      <w:r>
        <w:rPr>
          <w:rFonts w:ascii="Arial" w:hAnsi="Arial" w:cs="Arial"/>
          <w:spacing w:val="-12"/>
          <w:sz w:val="22"/>
          <w:szCs w:val="22"/>
        </w:rPr>
        <w:t xml:space="preserve"> </w:t>
      </w:r>
      <w:r>
        <w:rPr>
          <w:rFonts w:ascii="Arial" w:hAnsi="Arial" w:cs="Arial"/>
          <w:sz w:val="22"/>
          <w:szCs w:val="22"/>
        </w:rPr>
        <w:t>respondidas,</w:t>
      </w:r>
      <w:r>
        <w:rPr>
          <w:rFonts w:ascii="Arial" w:hAnsi="Arial" w:cs="Arial"/>
          <w:spacing w:val="-13"/>
          <w:sz w:val="22"/>
          <w:szCs w:val="22"/>
        </w:rPr>
        <w:t xml:space="preserve"> </w:t>
      </w:r>
      <w:r>
        <w:rPr>
          <w:rFonts w:ascii="Arial" w:hAnsi="Arial" w:cs="Arial"/>
          <w:sz w:val="22"/>
          <w:szCs w:val="22"/>
        </w:rPr>
        <w:t>em</w:t>
      </w:r>
      <w:r>
        <w:rPr>
          <w:rFonts w:ascii="Arial" w:hAnsi="Arial" w:cs="Arial"/>
          <w:spacing w:val="-9"/>
          <w:sz w:val="22"/>
          <w:szCs w:val="22"/>
        </w:rPr>
        <w:t xml:space="preserve"> </w:t>
      </w:r>
      <w:r>
        <w:rPr>
          <w:rFonts w:ascii="Arial" w:hAnsi="Arial" w:cs="Arial"/>
          <w:sz w:val="22"/>
          <w:szCs w:val="22"/>
        </w:rPr>
        <w:t>até</w:t>
      </w:r>
      <w:r>
        <w:rPr>
          <w:rFonts w:ascii="Arial" w:hAnsi="Arial" w:cs="Arial"/>
          <w:spacing w:val="-10"/>
          <w:sz w:val="22"/>
          <w:szCs w:val="22"/>
        </w:rPr>
        <w:t xml:space="preserve"> </w:t>
      </w:r>
      <w:r>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(três)</w:t>
      </w:r>
      <w:r>
        <w:rPr>
          <w:rFonts w:ascii="Arial" w:hAnsi="Arial" w:cs="Arial"/>
          <w:spacing w:val="-12"/>
          <w:sz w:val="22"/>
          <w:szCs w:val="22"/>
        </w:rPr>
        <w:t xml:space="preserve"> </w:t>
      </w:r>
      <w:r>
        <w:rPr>
          <w:rFonts w:ascii="Arial" w:hAnsi="Arial" w:cs="Arial"/>
          <w:sz w:val="22"/>
          <w:szCs w:val="22"/>
        </w:rPr>
        <w:t>dias</w:t>
      </w:r>
      <w:r>
        <w:rPr>
          <w:rFonts w:ascii="Arial" w:hAnsi="Arial" w:cs="Arial"/>
          <w:spacing w:val="-10"/>
          <w:sz w:val="22"/>
          <w:szCs w:val="22"/>
        </w:rPr>
        <w:t xml:space="preserve"> </w:t>
      </w:r>
      <w:r>
        <w:rPr>
          <w:rFonts w:ascii="Arial" w:hAnsi="Arial" w:cs="Arial"/>
          <w:sz w:val="22"/>
          <w:szCs w:val="22"/>
        </w:rPr>
        <w:t>úteis,</w:t>
      </w:r>
      <w:r>
        <w:rPr>
          <w:rFonts w:ascii="Arial" w:hAnsi="Arial" w:cs="Arial"/>
          <w:spacing w:val="-12"/>
          <w:sz w:val="22"/>
          <w:szCs w:val="22"/>
        </w:rPr>
        <w:t xml:space="preserve"> </w:t>
      </w:r>
      <w:r>
        <w:rPr>
          <w:rFonts w:ascii="Arial" w:hAnsi="Arial" w:cs="Arial"/>
          <w:sz w:val="22"/>
          <w:szCs w:val="22"/>
        </w:rPr>
        <w:t>pela Comissão Permanente de Licitação – CPEL, com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6"/>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6"/>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6"/>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6"/>
          <w:rFonts w:ascii="Arial" w:hAnsi="Arial" w:cs="Arial"/>
          <w:color w:val="0462C1"/>
          <w:sz w:val="22"/>
          <w:szCs w:val="22"/>
        </w:rPr>
        <w:t>www.</w:t>
      </w:r>
      <w:r>
        <w:rPr>
          <w:rStyle w:val="16"/>
          <w:rFonts w:ascii="Arial" w:hAnsi="Arial" w:cs="Arial"/>
          <w:color w:val="0462C1"/>
          <w:sz w:val="22"/>
          <w:szCs w:val="22"/>
          <w:lang w:val="pt-BR"/>
        </w:rPr>
        <w:t>coden</w:t>
      </w:r>
      <w:r>
        <w:rPr>
          <w:rStyle w:val="16"/>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6"/>
        <w:ind w:left="440" w:leftChars="200" w:right="268" w:rightChars="122" w:firstLine="0" w:firstLineChars="0"/>
        <w:rPr>
          <w:rFonts w:hint="default" w:ascii="Arial" w:hAnsi="Arial" w:cs="Arial"/>
          <w:sz w:val="22"/>
          <w:szCs w:val="22"/>
        </w:rPr>
      </w:pPr>
    </w:p>
    <w:p>
      <w:pPr>
        <w:pStyle w:val="2"/>
        <w:numPr>
          <w:ilvl w:val="0"/>
          <w:numId w:val="1"/>
        </w:numPr>
        <w:tabs>
          <w:tab w:val="left" w:pos="1430"/>
        </w:tabs>
        <w:spacing w:before="0" w:after="0" w:line="240" w:lineRule="auto"/>
        <w:ind w:left="440" w:leftChars="200" w:right="268" w:rightChars="122" w:firstLine="0" w:firstLineChars="0"/>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28" w:lineRule="auto"/>
        <w:ind w:left="440" w:leftChars="200" w:right="268" w:rightChars="122" w:firstLine="0" w:firstLineChars="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6"/>
        <w:spacing w:before="9"/>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6"/>
        <w:ind w:left="440" w:leftChars="200" w:right="268" w:rightChars="122" w:firstLine="0" w:firstLineChars="0"/>
        <w:rPr>
          <w:rFonts w:hint="default" w:ascii="Arial" w:hAnsi="Arial" w:cs="Arial"/>
          <w:sz w:val="22"/>
          <w:szCs w:val="22"/>
        </w:rPr>
      </w:pPr>
    </w:p>
    <w:p>
      <w:pPr>
        <w:pStyle w:val="19"/>
        <w:numPr>
          <w:ilvl w:val="2"/>
          <w:numId w:val="1"/>
        </w:numPr>
        <w:tabs>
          <w:tab w:val="left" w:pos="154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6"/>
        <w:ind w:left="440" w:leftChars="200" w:right="268" w:rightChars="122" w:firstLine="0" w:firstLineChars="0"/>
        <w:rPr>
          <w:rFonts w:hint="default" w:ascii="Arial" w:hAnsi="Arial" w:cs="Arial"/>
          <w:sz w:val="22"/>
          <w:szCs w:val="22"/>
        </w:rPr>
      </w:pPr>
    </w:p>
    <w:p>
      <w:pPr>
        <w:pStyle w:val="19"/>
        <w:numPr>
          <w:ilvl w:val="2"/>
          <w:numId w:val="1"/>
        </w:numPr>
        <w:tabs>
          <w:tab w:val="left" w:pos="154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30"/>
        </w:tabs>
        <w:spacing w:before="104" w:after="0" w:line="228"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6"/>
        <w:spacing w:before="9"/>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29"/>
          <w:tab w:val="left" w:pos="1430"/>
        </w:tabs>
        <w:spacing w:before="0" w:after="0" w:line="275" w:lineRule="exact"/>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9"/>
        <w:numPr>
          <w:ilvl w:val="0"/>
          <w:numId w:val="2"/>
        </w:numPr>
        <w:tabs>
          <w:tab w:val="left" w:pos="1441"/>
          <w:tab w:val="left" w:pos="1442"/>
        </w:tabs>
        <w:spacing w:before="0" w:after="0" w:line="275" w:lineRule="exact"/>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9"/>
        <w:numPr>
          <w:ilvl w:val="0"/>
          <w:numId w:val="2"/>
        </w:numPr>
        <w:tabs>
          <w:tab w:val="left" w:pos="1441"/>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9"/>
        <w:numPr>
          <w:ilvl w:val="0"/>
          <w:numId w:val="2"/>
        </w:numPr>
        <w:tabs>
          <w:tab w:val="left" w:pos="1442"/>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9"/>
        <w:numPr>
          <w:ilvl w:val="0"/>
          <w:numId w:val="2"/>
        </w:numPr>
        <w:tabs>
          <w:tab w:val="left" w:pos="1441"/>
          <w:tab w:val="left" w:pos="1442"/>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9"/>
        <w:numPr>
          <w:ilvl w:val="0"/>
          <w:numId w:val="2"/>
        </w:numPr>
        <w:tabs>
          <w:tab w:val="left" w:pos="1441"/>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9"/>
        <w:numPr>
          <w:ilvl w:val="0"/>
          <w:numId w:val="2"/>
        </w:numPr>
        <w:tabs>
          <w:tab w:val="left" w:pos="1441"/>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9"/>
        <w:numPr>
          <w:ilvl w:val="0"/>
          <w:numId w:val="2"/>
        </w:numPr>
        <w:tabs>
          <w:tab w:val="left" w:pos="1441"/>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6"/>
        <w:ind w:left="440" w:leftChars="200" w:right="268" w:rightChars="122" w:firstLine="0" w:firstLineChars="0"/>
        <w:rPr>
          <w:rFonts w:hint="default" w:ascii="Arial" w:hAnsi="Arial" w:cs="Arial"/>
          <w:color w:val="auto"/>
          <w:sz w:val="22"/>
          <w:szCs w:val="22"/>
        </w:rPr>
      </w:pPr>
    </w:p>
    <w:p>
      <w:pPr>
        <w:pStyle w:val="19"/>
        <w:numPr>
          <w:ilvl w:val="1"/>
          <w:numId w:val="1"/>
        </w:numPr>
        <w:tabs>
          <w:tab w:val="left" w:pos="1429"/>
          <w:tab w:val="left" w:pos="1430"/>
        </w:tabs>
        <w:spacing w:before="1" w:after="0" w:line="240" w:lineRule="auto"/>
        <w:ind w:left="440" w:leftChars="200" w:right="268" w:rightChars="122" w:firstLine="0" w:firstLineChars="0"/>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6"/>
        <w:spacing w:before="1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6"/>
        <w:ind w:left="440" w:leftChars="200" w:right="268" w:rightChars="122" w:firstLine="0" w:firstLineChars="0"/>
        <w:rPr>
          <w:rFonts w:hint="default" w:ascii="Arial" w:hAnsi="Arial" w:cs="Arial"/>
          <w:sz w:val="22"/>
          <w:szCs w:val="22"/>
        </w:rPr>
      </w:pPr>
    </w:p>
    <w:p>
      <w:pPr>
        <w:pStyle w:val="2"/>
        <w:numPr>
          <w:ilvl w:val="0"/>
          <w:numId w:val="1"/>
        </w:numPr>
        <w:tabs>
          <w:tab w:val="left" w:pos="1429"/>
          <w:tab w:val="left" w:pos="143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DA VISITA</w:t>
      </w:r>
      <w:r>
        <w:rPr>
          <w:rFonts w:hint="default" w:ascii="Arial" w:hAnsi="Arial" w:cs="Arial"/>
          <w:spacing w:val="-14"/>
          <w:sz w:val="22"/>
          <w:szCs w:val="22"/>
        </w:rPr>
        <w:t xml:space="preserve"> </w:t>
      </w:r>
      <w:r>
        <w:rPr>
          <w:rFonts w:hint="default" w:ascii="Arial" w:hAnsi="Arial" w:cs="Arial"/>
          <w:sz w:val="22"/>
          <w:szCs w:val="22"/>
        </w:rPr>
        <w:t>TÉCNICA</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licitante</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5"/>
          <w:sz w:val="22"/>
          <w:szCs w:val="22"/>
        </w:rPr>
        <w:t xml:space="preserve"> </w:t>
      </w:r>
      <w:r>
        <w:rPr>
          <w:rFonts w:hint="default" w:ascii="Arial" w:hAnsi="Arial" w:cs="Arial"/>
          <w:sz w:val="22"/>
          <w:szCs w:val="22"/>
        </w:rPr>
        <w:t>realizar</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4"/>
          <w:sz w:val="22"/>
          <w:szCs w:val="22"/>
        </w:rPr>
        <w:t xml:space="preserve"> </w:t>
      </w:r>
      <w:r>
        <w:rPr>
          <w:rFonts w:hint="default" w:ascii="Arial" w:hAnsi="Arial" w:cs="Arial"/>
          <w:sz w:val="22"/>
          <w:szCs w:val="22"/>
        </w:rPr>
        <w:t>técnica</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4"/>
          <w:sz w:val="22"/>
          <w:szCs w:val="22"/>
        </w:rPr>
        <w:t xml:space="preserve"> </w:t>
      </w:r>
      <w:r>
        <w:rPr>
          <w:rFonts w:hint="default" w:ascii="Arial" w:hAnsi="Arial" w:cs="Arial"/>
          <w:sz w:val="22"/>
          <w:szCs w:val="22"/>
        </w:rPr>
        <w:t>local</w:t>
      </w:r>
      <w:r>
        <w:rPr>
          <w:rFonts w:hint="default" w:ascii="Arial" w:hAnsi="Arial" w:cs="Arial"/>
          <w:spacing w:val="-6"/>
          <w:sz w:val="22"/>
          <w:szCs w:val="22"/>
        </w:rPr>
        <w:t xml:space="preserve"> </w:t>
      </w:r>
      <w:r>
        <w:rPr>
          <w:rFonts w:hint="default" w:ascii="Arial" w:hAnsi="Arial" w:cs="Arial"/>
          <w:sz w:val="22"/>
          <w:szCs w:val="22"/>
        </w:rPr>
        <w:t>onde</w:t>
      </w:r>
      <w:r>
        <w:rPr>
          <w:rFonts w:hint="default" w:ascii="Arial" w:hAnsi="Arial" w:cs="Arial"/>
          <w:spacing w:val="-6"/>
          <w:sz w:val="22"/>
          <w:szCs w:val="22"/>
        </w:rPr>
        <w:t xml:space="preserve"> </w:t>
      </w:r>
      <w:r>
        <w:rPr>
          <w:rFonts w:hint="default" w:ascii="Arial" w:hAnsi="Arial" w:cs="Arial"/>
          <w:sz w:val="22"/>
          <w:szCs w:val="22"/>
        </w:rPr>
        <w:t>serão</w:t>
      </w:r>
      <w:r>
        <w:rPr>
          <w:rFonts w:hint="default" w:ascii="Arial" w:hAnsi="Arial" w:cs="Arial"/>
          <w:spacing w:val="-4"/>
          <w:sz w:val="22"/>
          <w:szCs w:val="22"/>
        </w:rPr>
        <w:t xml:space="preserve"> </w:t>
      </w:r>
      <w:r>
        <w:rPr>
          <w:rFonts w:hint="default" w:ascii="Arial" w:hAnsi="Arial" w:cs="Arial"/>
          <w:sz w:val="22"/>
          <w:szCs w:val="22"/>
        </w:rPr>
        <w:t>executados</w:t>
      </w:r>
      <w:r>
        <w:rPr>
          <w:rFonts w:hint="default" w:ascii="Arial" w:hAnsi="Arial" w:cs="Arial"/>
          <w:spacing w:val="-10"/>
          <w:sz w:val="22"/>
          <w:szCs w:val="22"/>
        </w:rPr>
        <w:t xml:space="preserve"> </w:t>
      </w:r>
      <w:r>
        <w:rPr>
          <w:rFonts w:hint="default" w:ascii="Arial" w:hAnsi="Arial" w:cs="Arial"/>
          <w:sz w:val="22"/>
          <w:szCs w:val="22"/>
        </w:rPr>
        <w:t>o objeto licitado, através de seu representante, tomando conhecimento de todos os</w:t>
      </w:r>
      <w:r>
        <w:rPr>
          <w:rFonts w:hint="default" w:ascii="Arial" w:hAnsi="Arial" w:cs="Arial"/>
          <w:spacing w:val="-18"/>
          <w:sz w:val="22"/>
          <w:szCs w:val="22"/>
        </w:rPr>
        <w:t xml:space="preserve"> </w:t>
      </w:r>
      <w:r>
        <w:rPr>
          <w:rFonts w:hint="default" w:ascii="Arial" w:hAnsi="Arial" w:cs="Arial"/>
          <w:sz w:val="22"/>
          <w:szCs w:val="22"/>
        </w:rPr>
        <w:t>aspectos</w:t>
      </w:r>
      <w:r>
        <w:rPr>
          <w:rFonts w:hint="default" w:ascii="Arial" w:hAnsi="Arial" w:cs="Arial"/>
          <w:spacing w:val="-17"/>
          <w:sz w:val="22"/>
          <w:szCs w:val="22"/>
        </w:rPr>
        <w:t xml:space="preserve"> </w:t>
      </w:r>
      <w:r>
        <w:rPr>
          <w:rFonts w:hint="default" w:ascii="Arial" w:hAnsi="Arial" w:cs="Arial"/>
          <w:sz w:val="22"/>
          <w:szCs w:val="22"/>
        </w:rPr>
        <w:t>que</w:t>
      </w:r>
      <w:r>
        <w:rPr>
          <w:rFonts w:hint="default" w:ascii="Arial" w:hAnsi="Arial" w:cs="Arial"/>
          <w:spacing w:val="-19"/>
          <w:sz w:val="22"/>
          <w:szCs w:val="22"/>
        </w:rPr>
        <w:t xml:space="preserve"> </w:t>
      </w:r>
      <w:r>
        <w:rPr>
          <w:rFonts w:hint="default" w:ascii="Arial" w:hAnsi="Arial" w:cs="Arial"/>
          <w:sz w:val="22"/>
          <w:szCs w:val="22"/>
        </w:rPr>
        <w:t>possam</w:t>
      </w:r>
      <w:r>
        <w:rPr>
          <w:rFonts w:hint="default" w:ascii="Arial" w:hAnsi="Arial" w:cs="Arial"/>
          <w:spacing w:val="-16"/>
          <w:sz w:val="22"/>
          <w:szCs w:val="22"/>
        </w:rPr>
        <w:t xml:space="preserve"> </w:t>
      </w:r>
      <w:r>
        <w:rPr>
          <w:rFonts w:hint="default" w:ascii="Arial" w:hAnsi="Arial" w:cs="Arial"/>
          <w:sz w:val="22"/>
          <w:szCs w:val="22"/>
        </w:rPr>
        <w:t>influir</w:t>
      </w:r>
      <w:r>
        <w:rPr>
          <w:rFonts w:hint="default" w:ascii="Arial" w:hAnsi="Arial" w:cs="Arial"/>
          <w:spacing w:val="-19"/>
          <w:sz w:val="22"/>
          <w:szCs w:val="22"/>
        </w:rPr>
        <w:t xml:space="preserve"> </w:t>
      </w:r>
      <w:r>
        <w:rPr>
          <w:rFonts w:hint="default" w:ascii="Arial" w:hAnsi="Arial" w:cs="Arial"/>
          <w:sz w:val="22"/>
          <w:szCs w:val="22"/>
        </w:rPr>
        <w:t>direta</w:t>
      </w:r>
      <w:r>
        <w:rPr>
          <w:rFonts w:hint="default" w:ascii="Arial" w:hAnsi="Arial" w:cs="Arial"/>
          <w:spacing w:val="-17"/>
          <w:sz w:val="22"/>
          <w:szCs w:val="22"/>
        </w:rPr>
        <w:t xml:space="preserve"> </w:t>
      </w:r>
      <w:r>
        <w:rPr>
          <w:rFonts w:hint="default" w:ascii="Arial" w:hAnsi="Arial" w:cs="Arial"/>
          <w:sz w:val="22"/>
          <w:szCs w:val="22"/>
        </w:rPr>
        <w:t>ou</w:t>
      </w:r>
      <w:r>
        <w:rPr>
          <w:rFonts w:hint="default" w:ascii="Arial" w:hAnsi="Arial" w:cs="Arial"/>
          <w:spacing w:val="-17"/>
          <w:sz w:val="22"/>
          <w:szCs w:val="22"/>
        </w:rPr>
        <w:t xml:space="preserve"> </w:t>
      </w:r>
      <w:r>
        <w:rPr>
          <w:rFonts w:hint="default" w:ascii="Arial" w:hAnsi="Arial" w:cs="Arial"/>
          <w:sz w:val="22"/>
          <w:szCs w:val="22"/>
        </w:rPr>
        <w:t>indiretamente</w:t>
      </w:r>
      <w:r>
        <w:rPr>
          <w:rFonts w:hint="default" w:ascii="Arial" w:hAnsi="Arial" w:cs="Arial"/>
          <w:spacing w:val="-19"/>
          <w:sz w:val="22"/>
          <w:szCs w:val="22"/>
        </w:rPr>
        <w:t xml:space="preserve"> </w:t>
      </w:r>
      <w:r>
        <w:rPr>
          <w:rFonts w:hint="default" w:ascii="Arial" w:hAnsi="Arial" w:cs="Arial"/>
          <w:sz w:val="22"/>
          <w:szCs w:val="22"/>
        </w:rPr>
        <w:t>na</w:t>
      </w:r>
      <w:r>
        <w:rPr>
          <w:rFonts w:hint="default" w:ascii="Arial" w:hAnsi="Arial" w:cs="Arial"/>
          <w:spacing w:val="-19"/>
          <w:sz w:val="22"/>
          <w:szCs w:val="22"/>
        </w:rPr>
        <w:t xml:space="preserve"> </w:t>
      </w:r>
      <w:r>
        <w:rPr>
          <w:rFonts w:hint="default" w:ascii="Arial" w:hAnsi="Arial" w:cs="Arial"/>
          <w:sz w:val="22"/>
          <w:szCs w:val="22"/>
        </w:rPr>
        <w:t>execução</w:t>
      </w:r>
      <w:r>
        <w:rPr>
          <w:rFonts w:hint="default" w:ascii="Arial" w:hAnsi="Arial" w:cs="Arial"/>
          <w:spacing w:val="-20"/>
          <w:sz w:val="22"/>
          <w:szCs w:val="22"/>
        </w:rPr>
        <w:t xml:space="preserve"> </w:t>
      </w:r>
      <w:r>
        <w:rPr>
          <w:rFonts w:hint="default" w:ascii="Arial" w:hAnsi="Arial" w:cs="Arial"/>
          <w:sz w:val="22"/>
          <w:szCs w:val="22"/>
        </w:rPr>
        <w:t>dos</w:t>
      </w:r>
      <w:r>
        <w:rPr>
          <w:rFonts w:hint="default" w:ascii="Arial" w:hAnsi="Arial" w:cs="Arial"/>
          <w:spacing w:val="-19"/>
          <w:sz w:val="22"/>
          <w:szCs w:val="22"/>
        </w:rPr>
        <w:t xml:space="preserve"> </w:t>
      </w:r>
      <w:r>
        <w:rPr>
          <w:rFonts w:hint="default" w:ascii="Arial" w:hAnsi="Arial" w:cs="Arial"/>
          <w:sz w:val="22"/>
          <w:szCs w:val="22"/>
        </w:rPr>
        <w:t>mesmos e na apresentação das</w:t>
      </w:r>
      <w:r>
        <w:rPr>
          <w:rFonts w:hint="default" w:ascii="Arial" w:hAnsi="Arial" w:cs="Arial"/>
          <w:spacing w:val="-6"/>
          <w:sz w:val="22"/>
          <w:szCs w:val="22"/>
        </w:rPr>
        <w:t xml:space="preserve"> </w:t>
      </w:r>
      <w:r>
        <w:rPr>
          <w:rFonts w:hint="default" w:ascii="Arial" w:hAnsi="Arial" w:cs="Arial"/>
          <w:sz w:val="22"/>
          <w:szCs w:val="22"/>
        </w:rPr>
        <w:t>propostas.</w:t>
      </w:r>
    </w:p>
    <w:p>
      <w:pPr>
        <w:pStyle w:val="6"/>
        <w:spacing w:before="1"/>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No ato da visita técnica, o representante deverá comprovar que detém os poderes necessários para atuar em nome do licitante, mediante apresentação dos documentos de identificação e do estatuto ou contrato social da licitante ou instrumento público ou particular de</w:t>
      </w:r>
      <w:r>
        <w:rPr>
          <w:rFonts w:hint="default" w:ascii="Arial" w:hAnsi="Arial" w:cs="Arial"/>
          <w:spacing w:val="-15"/>
          <w:sz w:val="22"/>
          <w:szCs w:val="22"/>
        </w:rPr>
        <w:t xml:space="preserve"> </w:t>
      </w:r>
      <w:r>
        <w:rPr>
          <w:rFonts w:hint="default" w:ascii="Arial" w:hAnsi="Arial" w:cs="Arial"/>
          <w:sz w:val="22"/>
          <w:szCs w:val="22"/>
        </w:rPr>
        <w:t>procuração.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color w:val="auto"/>
          <w:sz w:val="22"/>
          <w:szCs w:val="22"/>
        </w:rPr>
      </w:pP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visita</w:t>
      </w:r>
      <w:r>
        <w:rPr>
          <w:rFonts w:hint="default" w:ascii="Arial" w:hAnsi="Arial" w:cs="Arial"/>
          <w:spacing w:val="-3"/>
          <w:sz w:val="22"/>
          <w:szCs w:val="22"/>
        </w:rPr>
        <w:t xml:space="preserve"> </w:t>
      </w:r>
      <w:r>
        <w:rPr>
          <w:rFonts w:hint="default" w:ascii="Arial" w:hAnsi="Arial" w:cs="Arial"/>
          <w:sz w:val="22"/>
          <w:szCs w:val="22"/>
        </w:rPr>
        <w:t>técnica</w:t>
      </w:r>
      <w:r>
        <w:rPr>
          <w:rFonts w:hint="default" w:ascii="Arial" w:hAnsi="Arial" w:cs="Arial"/>
          <w:spacing w:val="-7"/>
          <w:sz w:val="22"/>
          <w:szCs w:val="22"/>
        </w:rPr>
        <w:t xml:space="preserve"> </w:t>
      </w:r>
      <w:r>
        <w:rPr>
          <w:rFonts w:hint="default" w:ascii="Arial" w:hAnsi="Arial" w:cs="Arial"/>
          <w:sz w:val="22"/>
          <w:szCs w:val="22"/>
        </w:rPr>
        <w:t>poderá</w:t>
      </w:r>
      <w:r>
        <w:rPr>
          <w:rFonts w:hint="default" w:ascii="Arial" w:hAnsi="Arial" w:cs="Arial"/>
          <w:spacing w:val="-5"/>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realizada</w:t>
      </w:r>
      <w:r>
        <w:rPr>
          <w:rFonts w:hint="default" w:ascii="Arial" w:hAnsi="Arial" w:cs="Arial"/>
          <w:spacing w:val="1"/>
          <w:sz w:val="22"/>
          <w:szCs w:val="22"/>
        </w:rPr>
        <w:t xml:space="preserve"> </w:t>
      </w:r>
      <w:r>
        <w:rPr>
          <w:rFonts w:hint="default" w:ascii="Arial" w:hAnsi="Arial" w:cs="Arial"/>
          <w:b/>
          <w:bCs/>
          <w:color w:val="auto"/>
          <w:spacing w:val="1"/>
          <w:sz w:val="22"/>
          <w:szCs w:val="22"/>
          <w:lang w:val="pt-BR"/>
        </w:rPr>
        <w:t xml:space="preserve">até </w:t>
      </w:r>
      <w:r>
        <w:rPr>
          <w:rFonts w:hint="default" w:cs="Arial"/>
          <w:b/>
          <w:bCs/>
          <w:color w:val="auto"/>
          <w:spacing w:val="1"/>
          <w:sz w:val="22"/>
          <w:szCs w:val="22"/>
          <w:lang w:val="pt-BR"/>
        </w:rPr>
        <w:t>o dia 03/09/2019,</w:t>
      </w:r>
      <w:r>
        <w:rPr>
          <w:rFonts w:hint="default" w:ascii="Arial" w:hAnsi="Arial" w:cs="Arial"/>
          <w:b/>
          <w:bCs/>
          <w:color w:val="auto"/>
          <w:sz w:val="22"/>
          <w:szCs w:val="22"/>
        </w:rPr>
        <w:t xml:space="preserve"> </w:t>
      </w:r>
      <w:r>
        <w:rPr>
          <w:rFonts w:hint="default" w:ascii="Arial" w:hAnsi="Arial" w:cs="Arial"/>
          <w:sz w:val="22"/>
          <w:szCs w:val="22"/>
        </w:rPr>
        <w:t>mediante agendamento prévio</w:t>
      </w:r>
      <w:r>
        <w:rPr>
          <w:rFonts w:hint="default" w:cs="Arial"/>
          <w:sz w:val="22"/>
          <w:szCs w:val="22"/>
          <w:lang w:val="pt-BR"/>
        </w:rPr>
        <w:t>, com dois dias de antecedência da data pretendida</w:t>
      </w:r>
      <w:r>
        <w:rPr>
          <w:rFonts w:hint="default" w:ascii="Arial" w:hAnsi="Arial" w:cs="Arial"/>
          <w:sz w:val="22"/>
          <w:szCs w:val="22"/>
        </w:rPr>
        <w:t xml:space="preserve">. O responsável pelo agendamento da visita técnica será </w:t>
      </w:r>
      <w:r>
        <w:rPr>
          <w:rFonts w:hint="default" w:cs="Arial"/>
          <w:sz w:val="22"/>
          <w:szCs w:val="22"/>
          <w:lang w:val="pt-BR"/>
        </w:rPr>
        <w:t>o</w:t>
      </w:r>
      <w:r>
        <w:rPr>
          <w:rFonts w:hint="default" w:ascii="Arial" w:hAnsi="Arial" w:cs="Arial"/>
          <w:sz w:val="22"/>
          <w:szCs w:val="22"/>
        </w:rPr>
        <w:t xml:space="preserve"> funcionári</w:t>
      </w:r>
      <w:r>
        <w:rPr>
          <w:rFonts w:hint="default" w:cs="Arial"/>
          <w:sz w:val="22"/>
          <w:szCs w:val="22"/>
          <w:lang w:val="pt-BR"/>
        </w:rPr>
        <w:t>o</w:t>
      </w:r>
      <w:r>
        <w:rPr>
          <w:rFonts w:hint="default" w:ascii="Arial" w:hAnsi="Arial" w:cs="Arial"/>
          <w:sz w:val="22"/>
          <w:szCs w:val="22"/>
        </w:rPr>
        <w:t xml:space="preserv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auto"/>
          <w:sz w:val="22"/>
          <w:szCs w:val="22"/>
        </w:rPr>
        <w:t xml:space="preserve">Sr. </w:t>
      </w:r>
      <w:r>
        <w:rPr>
          <w:rFonts w:hint="default" w:cs="Arial"/>
          <w:color w:val="auto"/>
          <w:sz w:val="22"/>
          <w:szCs w:val="22"/>
          <w:lang w:val="pt-BR"/>
        </w:rPr>
        <w:t>Rean Gustavo Sobrinho</w:t>
      </w:r>
      <w:r>
        <w:rPr>
          <w:rFonts w:hint="default" w:ascii="Arial" w:hAnsi="Arial" w:cs="Arial"/>
          <w:color w:val="auto"/>
          <w:sz w:val="22"/>
          <w:szCs w:val="22"/>
        </w:rPr>
        <w:t>, telefone (</w:t>
      </w:r>
      <w:r>
        <w:rPr>
          <w:rFonts w:hint="default" w:cs="Arial"/>
          <w:color w:val="auto"/>
          <w:sz w:val="22"/>
          <w:szCs w:val="22"/>
          <w:lang w:val="pt-BR"/>
        </w:rPr>
        <w:t>19</w:t>
      </w:r>
      <w:r>
        <w:rPr>
          <w:rFonts w:hint="default" w:ascii="Arial" w:hAnsi="Arial" w:cs="Arial"/>
          <w:color w:val="auto"/>
          <w:sz w:val="22"/>
          <w:szCs w:val="22"/>
        </w:rPr>
        <w:t xml:space="preserve">) </w:t>
      </w:r>
      <w:r>
        <w:rPr>
          <w:rFonts w:hint="default" w:cs="Arial"/>
          <w:color w:val="auto"/>
          <w:sz w:val="22"/>
          <w:szCs w:val="22"/>
          <w:lang w:val="pt-BR"/>
        </w:rPr>
        <w:t xml:space="preserve">3476-8500, Ramal 8532, </w:t>
      </w:r>
      <w:r>
        <w:rPr>
          <w:rFonts w:hint="default" w:ascii="Arial" w:hAnsi="Arial" w:cs="Arial"/>
          <w:color w:val="auto"/>
          <w:sz w:val="22"/>
          <w:szCs w:val="22"/>
        </w:rPr>
        <w:t>e-mail:</w:t>
      </w:r>
      <w:r>
        <w:rPr>
          <w:rFonts w:hint="default" w:ascii="Arial" w:hAnsi="Arial" w:cs="Arial"/>
          <w:color w:val="auto"/>
          <w:spacing w:val="-13"/>
          <w:sz w:val="22"/>
          <w:szCs w:val="22"/>
        </w:rPr>
        <w:t xml:space="preserve"> </w:t>
      </w: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"mailto:adrianooliveira@codemig.com.br" \h </w:instrText>
      </w:r>
      <w:r>
        <w:rPr>
          <w:rFonts w:hint="default" w:ascii="Arial" w:hAnsi="Arial" w:cs="Arial"/>
          <w:color w:val="auto"/>
          <w:sz w:val="22"/>
          <w:szCs w:val="22"/>
        </w:rPr>
        <w:fldChar w:fldCharType="separate"/>
      </w:r>
      <w:r>
        <w:rPr>
          <w:rFonts w:hint="default" w:cs="Arial"/>
          <w:color w:val="auto"/>
          <w:sz w:val="22"/>
          <w:szCs w:val="22"/>
          <w:lang w:val="pt-BR"/>
        </w:rPr>
        <w:t>engenharia</w:t>
      </w:r>
      <w:r>
        <w:rPr>
          <w:rFonts w:hint="default" w:ascii="Arial" w:hAnsi="Arial" w:cs="Arial"/>
          <w:color w:val="auto"/>
          <w:sz w:val="22"/>
          <w:szCs w:val="22"/>
        </w:rPr>
        <w:t>@</w:t>
      </w:r>
      <w:r>
        <w:rPr>
          <w:rFonts w:hint="default" w:ascii="Arial" w:hAnsi="Arial" w:cs="Arial"/>
          <w:color w:val="auto"/>
          <w:sz w:val="22"/>
          <w:szCs w:val="22"/>
          <w:lang w:val="pt-BR"/>
        </w:rPr>
        <w:t>coden</w:t>
      </w:r>
      <w:r>
        <w:rPr>
          <w:rFonts w:hint="default" w:ascii="Arial" w:hAnsi="Arial" w:cs="Arial"/>
          <w:color w:val="auto"/>
          <w:sz w:val="22"/>
          <w:szCs w:val="22"/>
        </w:rPr>
        <w:t>.com.br.</w:t>
      </w:r>
      <w:r>
        <w:rPr>
          <w:rFonts w:hint="default" w:ascii="Arial" w:hAnsi="Arial" w:cs="Arial"/>
          <w:color w:val="auto"/>
          <w:sz w:val="22"/>
          <w:szCs w:val="22"/>
        </w:rPr>
        <w:fldChar w:fldCharType="end"/>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representante de um licitante não poderá realizar visita técnica para outros.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O licitante que realizar a visita técnica receberá, através do seu representante, Atestado de Comparecimento na Visita Técnica emitido pela </w:t>
      </w:r>
      <w:r>
        <w:rPr>
          <w:rFonts w:hint="default" w:ascii="Arial" w:hAnsi="Arial" w:cs="Arial"/>
          <w:sz w:val="22"/>
          <w:szCs w:val="22"/>
          <w:lang w:val="pt-BR"/>
        </w:rPr>
        <w:t>CODEN</w:t>
      </w:r>
      <w:r>
        <w:rPr>
          <w:rFonts w:hint="default" w:ascii="Arial" w:hAnsi="Arial" w:cs="Arial"/>
          <w:sz w:val="22"/>
          <w:szCs w:val="22"/>
        </w:rPr>
        <w:t>, não lhe sendo concedido o direito de reclamações e pleitos futuros, alegando desconhecimentos sobre o local de</w:t>
      </w:r>
      <w:r>
        <w:rPr>
          <w:rFonts w:hint="default" w:ascii="Arial" w:hAnsi="Arial" w:cs="Arial"/>
          <w:spacing w:val="-9"/>
          <w:sz w:val="22"/>
          <w:szCs w:val="22"/>
        </w:rPr>
        <w:t xml:space="preserve"> </w:t>
      </w:r>
      <w:r>
        <w:rPr>
          <w:rFonts w:hint="default" w:ascii="Arial" w:hAnsi="Arial" w:cs="Arial"/>
          <w:sz w:val="22"/>
          <w:szCs w:val="22"/>
        </w:rPr>
        <w:t>execução.</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Caso o licitante opte por não realizar a visita técnica, o Atestado de Comparecimento na Visita Técnica deverá ser substituído, no envelope de habilitação,</w:t>
      </w:r>
      <w:r>
        <w:rPr>
          <w:rFonts w:hint="default" w:ascii="Arial" w:hAnsi="Arial" w:cs="Arial"/>
          <w:spacing w:val="16"/>
          <w:sz w:val="22"/>
          <w:szCs w:val="22"/>
        </w:rPr>
        <w:t xml:space="preserve"> </w:t>
      </w:r>
      <w:r>
        <w:rPr>
          <w:rFonts w:hint="default" w:ascii="Arial" w:hAnsi="Arial" w:cs="Arial"/>
          <w:sz w:val="22"/>
          <w:szCs w:val="22"/>
        </w:rPr>
        <w:t>pela</w:t>
      </w:r>
      <w:r>
        <w:rPr>
          <w:rFonts w:hint="default" w:ascii="Arial" w:hAnsi="Arial" w:cs="Arial"/>
          <w:spacing w:val="19"/>
          <w:sz w:val="22"/>
          <w:szCs w:val="22"/>
        </w:rPr>
        <w:t xml:space="preserve"> </w:t>
      </w:r>
      <w:r>
        <w:rPr>
          <w:rFonts w:hint="default" w:ascii="Arial" w:hAnsi="Arial" w:cs="Arial"/>
          <w:sz w:val="22"/>
          <w:szCs w:val="22"/>
        </w:rPr>
        <w:t>Declaração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Conhecimento</w:t>
      </w:r>
      <w:r>
        <w:rPr>
          <w:rFonts w:hint="default" w:ascii="Arial" w:hAnsi="Arial" w:cs="Arial"/>
          <w:spacing w:val="19"/>
          <w:sz w:val="22"/>
          <w:szCs w:val="22"/>
        </w:rPr>
        <w:t xml:space="preserve"> </w:t>
      </w:r>
      <w:r>
        <w:rPr>
          <w:rFonts w:hint="default" w:ascii="Arial" w:hAnsi="Arial" w:cs="Arial"/>
          <w:sz w:val="22"/>
          <w:szCs w:val="22"/>
        </w:rPr>
        <w:t>Pleno</w:t>
      </w:r>
      <w:r>
        <w:rPr>
          <w:rFonts w:hint="default" w:ascii="Arial" w:hAnsi="Arial" w:cs="Arial"/>
          <w:spacing w:val="17"/>
          <w:sz w:val="22"/>
          <w:szCs w:val="22"/>
        </w:rPr>
        <w:t xml:space="preserve"> </w:t>
      </w:r>
      <w:r>
        <w:rPr>
          <w:rFonts w:hint="default" w:ascii="Arial" w:hAnsi="Arial" w:cs="Arial"/>
          <w:sz w:val="22"/>
          <w:szCs w:val="22"/>
        </w:rPr>
        <w:t>do</w:t>
      </w:r>
      <w:r>
        <w:rPr>
          <w:rFonts w:hint="default" w:ascii="Arial" w:hAnsi="Arial" w:cs="Arial"/>
          <w:spacing w:val="19"/>
          <w:sz w:val="22"/>
          <w:szCs w:val="22"/>
        </w:rPr>
        <w:t xml:space="preserve"> </w:t>
      </w:r>
      <w:r>
        <w:rPr>
          <w:rFonts w:hint="default" w:ascii="Arial" w:hAnsi="Arial" w:cs="Arial"/>
          <w:sz w:val="22"/>
          <w:szCs w:val="22"/>
        </w:rPr>
        <w:t>local</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7"/>
          <w:sz w:val="22"/>
          <w:szCs w:val="22"/>
        </w:rPr>
        <w:t xml:space="preserve"> </w:t>
      </w:r>
      <w:r>
        <w:rPr>
          <w:rFonts w:hint="default" w:ascii="Arial" w:hAnsi="Arial" w:cs="Arial"/>
          <w:sz w:val="22"/>
          <w:szCs w:val="22"/>
        </w:rPr>
        <w:t>execução</w:t>
      </w:r>
      <w:r>
        <w:rPr>
          <w:rFonts w:hint="default" w:ascii="Arial" w:hAnsi="Arial" w:cs="Arial"/>
          <w:spacing w:val="17"/>
          <w:sz w:val="22"/>
          <w:szCs w:val="22"/>
        </w:rPr>
        <w:t xml:space="preserve"> </w:t>
      </w:r>
      <w:r>
        <w:rPr>
          <w:rFonts w:hint="default" w:ascii="Arial" w:hAnsi="Arial" w:cs="Arial"/>
          <w:sz w:val="22"/>
          <w:szCs w:val="22"/>
        </w:rPr>
        <w:t>do</w:t>
      </w:r>
      <w:r>
        <w:rPr>
          <w:rFonts w:hint="default" w:cs="Arial"/>
          <w:sz w:val="22"/>
          <w:szCs w:val="22"/>
          <w:lang w:val="pt-BR"/>
        </w:rPr>
        <w:t xml:space="preserve"> </w:t>
      </w:r>
      <w:r>
        <w:rPr>
          <w:rFonts w:hint="default" w:ascii="Arial" w:hAnsi="Arial" w:cs="Arial"/>
          <w:sz w:val="22"/>
          <w:szCs w:val="22"/>
        </w:rPr>
        <w:t>objeto licitado – Anexo VI</w:t>
      </w:r>
      <w:r>
        <w:rPr>
          <w:rFonts w:hint="default" w:cs="Arial"/>
          <w:sz w:val="22"/>
          <w:szCs w:val="22"/>
          <w:lang w:val="pt-BR"/>
        </w:rPr>
        <w:t>I</w:t>
      </w:r>
      <w:r>
        <w:rPr>
          <w:rFonts w:hint="default" w:ascii="Arial" w:hAnsi="Arial" w:cs="Arial"/>
          <w:sz w:val="22"/>
          <w:szCs w:val="22"/>
        </w:rPr>
        <w:t>, não lhe sendo concedido o direito de reclamações e pleitos futuros, alegando desconhecimentos sobre o local de execução.</w:t>
      </w:r>
    </w:p>
    <w:p>
      <w:pPr>
        <w:pStyle w:val="2"/>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p>
    <w:p>
      <w:pPr>
        <w:pStyle w:val="2"/>
        <w:numPr>
          <w:ilvl w:val="0"/>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deverá se apresentar para credenciamento prévio, junto à Comissão Permanente</w:t>
      </w:r>
      <w:r>
        <w:rPr>
          <w:rFonts w:hint="default" w:ascii="Arial" w:hAnsi="Arial" w:cs="Arial"/>
          <w:b/>
          <w:spacing w:val="-13"/>
          <w:sz w:val="22"/>
          <w:szCs w:val="22"/>
        </w:rPr>
        <w:t xml:space="preserve"> </w:t>
      </w:r>
      <w:r>
        <w:rPr>
          <w:rFonts w:hint="default" w:ascii="Arial" w:hAnsi="Arial" w:cs="Arial"/>
          <w:b/>
          <w:sz w:val="22"/>
          <w:szCs w:val="22"/>
        </w:rPr>
        <w:t>de</w:t>
      </w:r>
      <w:r>
        <w:rPr>
          <w:rFonts w:hint="default" w:ascii="Arial" w:hAnsi="Arial" w:cs="Arial"/>
          <w:b/>
          <w:spacing w:val="-13"/>
          <w:sz w:val="22"/>
          <w:szCs w:val="22"/>
        </w:rPr>
        <w:t xml:space="preserve"> </w:t>
      </w:r>
      <w:r>
        <w:rPr>
          <w:rFonts w:hint="default" w:ascii="Arial" w:hAnsi="Arial" w:cs="Arial"/>
          <w:b/>
          <w:sz w:val="22"/>
          <w:szCs w:val="22"/>
        </w:rPr>
        <w:t>Licitação</w:t>
      </w:r>
      <w:r>
        <w:rPr>
          <w:rFonts w:hint="default" w:ascii="Arial" w:hAnsi="Arial" w:cs="Arial"/>
          <w:b/>
          <w:spacing w:val="-11"/>
          <w:sz w:val="22"/>
          <w:szCs w:val="22"/>
        </w:rPr>
        <w:t xml:space="preserve"> </w:t>
      </w:r>
      <w:r>
        <w:rPr>
          <w:rFonts w:hint="default" w:ascii="Arial" w:hAnsi="Arial" w:cs="Arial"/>
          <w:b/>
          <w:sz w:val="22"/>
          <w:szCs w:val="22"/>
        </w:rPr>
        <w:t>-</w:t>
      </w:r>
      <w:r>
        <w:rPr>
          <w:rFonts w:hint="default" w:ascii="Arial" w:hAnsi="Arial" w:cs="Arial"/>
          <w:b/>
          <w:spacing w:val="-15"/>
          <w:sz w:val="22"/>
          <w:szCs w:val="22"/>
        </w:rPr>
        <w:t xml:space="preserve"> </w:t>
      </w:r>
      <w:r>
        <w:rPr>
          <w:rFonts w:hint="default" w:ascii="Arial" w:hAnsi="Arial" w:cs="Arial"/>
          <w:b/>
          <w:sz w:val="22"/>
          <w:szCs w:val="22"/>
        </w:rPr>
        <w:t>CPEL,</w:t>
      </w:r>
      <w:r>
        <w:rPr>
          <w:rFonts w:hint="default" w:ascii="Arial" w:hAnsi="Arial" w:cs="Arial"/>
          <w:b/>
          <w:spacing w:val="-14"/>
          <w:sz w:val="22"/>
          <w:szCs w:val="22"/>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04</w:t>
      </w:r>
      <w:r>
        <w:rPr>
          <w:rFonts w:hint="default" w:ascii="Arial" w:hAnsi="Arial" w:cs="Arial"/>
          <w:b/>
          <w:sz w:val="22"/>
          <w:szCs w:val="22"/>
        </w:rPr>
        <w:t>/</w:t>
      </w:r>
      <w:r>
        <w:rPr>
          <w:rFonts w:hint="default" w:cs="Arial"/>
          <w:b/>
          <w:sz w:val="22"/>
          <w:szCs w:val="22"/>
          <w:lang w:val="pt-BR"/>
        </w:rPr>
        <w:t>09</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00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xml:space="preserve">, </w:t>
      </w:r>
      <w:r>
        <w:rPr>
          <w:rFonts w:hint="default" w:cs="Arial"/>
          <w:sz w:val="22"/>
          <w:szCs w:val="22"/>
          <w:lang w:val="pt-BR"/>
        </w:rPr>
        <w:t xml:space="preserve">munido de </w:t>
      </w:r>
      <w:r>
        <w:rPr>
          <w:rFonts w:hint="default" w:ascii="Arial" w:hAnsi="Arial" w:cs="Arial"/>
          <w:sz w:val="22"/>
          <w:szCs w:val="22"/>
        </w:rPr>
        <w:t>documento que o credencie a participar deste certame ou responder pelo(a) representado(a),  devendo, ainda,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6"/>
        <w:ind w:left="440" w:leftChars="200" w:right="268" w:rightChars="122" w:firstLine="0" w:firstLineChars="0"/>
        <w:rPr>
          <w:rFonts w:hint="default" w:ascii="Arial" w:hAnsi="Arial" w:cs="Arial"/>
          <w:sz w:val="22"/>
          <w:szCs w:val="22"/>
        </w:rPr>
      </w:pPr>
    </w:p>
    <w:p>
      <w:pPr>
        <w:pStyle w:val="19"/>
        <w:numPr>
          <w:ilvl w:val="2"/>
          <w:numId w:val="1"/>
        </w:numPr>
        <w:tabs>
          <w:tab w:val="left" w:pos="1320"/>
          <w:tab w:val="left" w:pos="220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9"/>
        <w:numPr>
          <w:ilvl w:val="3"/>
          <w:numId w:val="1"/>
        </w:numPr>
        <w:tabs>
          <w:tab w:val="left" w:pos="1320"/>
        </w:tabs>
        <w:spacing w:before="12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9"/>
        <w:numPr>
          <w:ilvl w:val="3"/>
          <w:numId w:val="1"/>
        </w:numPr>
        <w:tabs>
          <w:tab w:val="left" w:pos="1320"/>
        </w:tabs>
        <w:spacing w:before="12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6"/>
        <w:spacing w:before="5"/>
        <w:ind w:left="440" w:leftChars="200" w:right="268" w:rightChars="122" w:firstLine="0" w:firstLineChars="0"/>
        <w:rPr>
          <w:rFonts w:hint="default" w:ascii="Arial" w:hAnsi="Arial" w:cs="Arial"/>
          <w:sz w:val="22"/>
          <w:szCs w:val="22"/>
        </w:rPr>
      </w:pPr>
    </w:p>
    <w:p>
      <w:pPr>
        <w:pStyle w:val="19"/>
        <w:numPr>
          <w:ilvl w:val="2"/>
          <w:numId w:val="1"/>
        </w:numPr>
        <w:tabs>
          <w:tab w:val="left" w:pos="132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9"/>
        <w:numPr>
          <w:ilvl w:val="3"/>
          <w:numId w:val="1"/>
        </w:numPr>
        <w:tabs>
          <w:tab w:val="left" w:pos="1320"/>
        </w:tabs>
        <w:spacing w:before="12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9"/>
        <w:numPr>
          <w:ilvl w:val="3"/>
          <w:numId w:val="1"/>
        </w:numPr>
        <w:tabs>
          <w:tab w:val="left" w:pos="1320"/>
        </w:tabs>
        <w:spacing w:before="12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6"/>
        <w:spacing w:before="5"/>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9"/>
        <w:numPr>
          <w:ilvl w:val="0"/>
          <w:numId w:val="0"/>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Podem ocorrer situações em que os documentos que comprovem a regularidade da outorga estejam no envelope de habilitação. Nesse caso a </w:t>
      </w:r>
      <w:r>
        <w:rPr>
          <w:rFonts w:hint="default" w:cs="Arial"/>
          <w:sz w:val="22"/>
          <w:szCs w:val="22"/>
          <w:lang w:val="pt-BR"/>
        </w:rPr>
        <w:t>Comissão de Licitação</w:t>
      </w:r>
      <w:r>
        <w:rPr>
          <w:rFonts w:hint="default" w:ascii="Arial" w:hAnsi="Arial" w:cs="Arial"/>
          <w:sz w:val="22"/>
          <w:szCs w:val="22"/>
        </w:rPr>
        <w:t xml:space="preserve"> devolverá o envelope de habilitação lacrado para que o mesmo retire de dentro os respectivos documentos, procedendo ao novo lacramento</w:t>
      </w:r>
      <w:r>
        <w:rPr>
          <w:rFonts w:hint="default" w:cs="Arial"/>
          <w:sz w:val="22"/>
          <w:szCs w:val="22"/>
          <w:lang w:val="pt-BR"/>
        </w:rPr>
        <w:t>.</w:t>
      </w:r>
    </w:p>
    <w:p>
      <w:pPr>
        <w:pStyle w:val="19"/>
        <w:numPr>
          <w:ilvl w:val="0"/>
          <w:numId w:val="0"/>
        </w:numPr>
        <w:tabs>
          <w:tab w:val="left" w:pos="1442"/>
        </w:tabs>
        <w:spacing w:before="0" w:after="0" w:line="240" w:lineRule="auto"/>
        <w:ind w:left="440" w:leftChars="200" w:right="268" w:rightChars="122" w:firstLine="0" w:firstLineChars="0"/>
        <w:jc w:val="both"/>
        <w:rPr>
          <w:rFonts w:hint="default" w:ascii="Arial" w:hAnsi="Arial" w:cs="Arial"/>
          <w:color w:val="FF0000"/>
          <w:sz w:val="22"/>
          <w:szCs w:val="22"/>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documento de procuração, quando apresentado, será retido pela Comissão de Licitação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4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430"/>
        </w:tabs>
        <w:spacing w:before="0" w:after="0" w:line="240" w:lineRule="auto"/>
        <w:ind w:left="440" w:leftChars="200" w:right="268" w:rightChars="122" w:firstLine="0" w:firstLineChars="0"/>
        <w:jc w:val="both"/>
        <w:rPr>
          <w:rFonts w:hint="default"/>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ind w:left="440" w:leftChars="200" w:right="268" w:rightChars="122" w:firstLine="0" w:firstLineChars="0"/>
        <w:rPr>
          <w:rFonts w:hint="default"/>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w:t>
      </w:r>
      <w:r>
        <w:rPr>
          <w:rFonts w:hint="default" w:ascii="Arial" w:hAnsi="Arial" w:cs="Arial"/>
          <w:color w:val="000000" w:themeColor="text1"/>
          <w:sz w:val="22"/>
          <w:szCs w:val="22"/>
          <w14:textFill>
            <w14:solidFill>
              <w14:schemeClr w14:val="tx1"/>
            </w14:solidFill>
          </w14:textFill>
        </w:rPr>
        <w:t>o Anexo III do Ed</w:t>
      </w:r>
      <w:r>
        <w:rPr>
          <w:rFonts w:hint="default" w:ascii="Arial" w:hAnsi="Arial" w:cs="Arial"/>
          <w:sz w:val="22"/>
          <w:szCs w:val="22"/>
        </w:rPr>
        <w:t xml:space="preserve">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 Comissão de Licitação na abertura da sessão. </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color w:val="FF0000"/>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w:t>
      </w:r>
      <w:r>
        <w:rPr>
          <w:rFonts w:hint="default" w:cs="Arial"/>
          <w:color w:val="000000" w:themeColor="text1"/>
          <w:sz w:val="22"/>
          <w:szCs w:val="22"/>
          <w:lang w:val="pt-BR"/>
          <w14:textFill>
            <w14:solidFill>
              <w14:schemeClr w14:val="tx1"/>
            </w14:solidFill>
          </w14:textFill>
        </w:rPr>
        <w:t>IX</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 Comissão de Licitação na abertura da sessão. </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 xml:space="preserve">13:00 </w:t>
      </w:r>
      <w:r>
        <w:rPr>
          <w:rFonts w:hint="default" w:ascii="Arial" w:hAnsi="Arial" w:cs="Arial"/>
          <w:b/>
          <w:sz w:val="22"/>
          <w:szCs w:val="22"/>
        </w:rPr>
        <w:t xml:space="preserve">horas do dia </w:t>
      </w:r>
      <w:r>
        <w:rPr>
          <w:rFonts w:hint="default" w:cs="Arial"/>
          <w:b/>
          <w:sz w:val="22"/>
          <w:szCs w:val="22"/>
          <w:lang w:val="pt-BR"/>
        </w:rPr>
        <w:t>04</w:t>
      </w:r>
      <w:r>
        <w:rPr>
          <w:rFonts w:hint="default" w:ascii="Arial" w:hAnsi="Arial" w:cs="Arial"/>
          <w:b/>
          <w:sz w:val="22"/>
          <w:szCs w:val="22"/>
        </w:rPr>
        <w:t xml:space="preserve"> de </w:t>
      </w:r>
      <w:r>
        <w:rPr>
          <w:rFonts w:hint="default" w:cs="Arial"/>
          <w:b/>
          <w:sz w:val="22"/>
          <w:szCs w:val="22"/>
          <w:lang w:val="pt-BR"/>
        </w:rPr>
        <w:t>setembro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6"/>
        <w:spacing w:before="11"/>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440" w:leftChars="200" w:right="268" w:rightChars="122" w:firstLine="0" w:firstLineChars="0"/>
        <w:jc w:val="left"/>
        <w:rPr>
          <w:b/>
          <w:sz w:val="22"/>
          <w:szCs w:val="22"/>
          <w:lang w:val="pt-BR"/>
        </w:rPr>
      </w:pPr>
      <w:r>
        <w:rPr>
          <w:b/>
          <w:sz w:val="22"/>
          <w:szCs w:val="22"/>
        </w:rPr>
        <w:t xml:space="preserve">ENVELOPE </w:t>
      </w:r>
      <w:r>
        <w:rPr>
          <w:b/>
          <w:sz w:val="22"/>
          <w:szCs w:val="22"/>
          <w:lang w:val="pt-BR"/>
        </w:rPr>
        <w:t xml:space="preserve">A - </w:t>
      </w:r>
      <w:r>
        <w:rPr>
          <w:b/>
          <w:sz w:val="22"/>
          <w:szCs w:val="22"/>
        </w:rPr>
        <w:t xml:space="preserve">PROPOSTA DE PREÇOS </w:t>
      </w:r>
    </w:p>
    <w:p>
      <w:pPr>
        <w:spacing w:before="1"/>
        <w:ind w:left="440" w:leftChars="200" w:right="268" w:rightChars="122" w:firstLine="0" w:firstLineChars="0"/>
        <w:jc w:val="left"/>
        <w:rPr>
          <w:b/>
          <w:sz w:val="22"/>
          <w:szCs w:val="22"/>
          <w:lang w:val="pt-BR"/>
        </w:rPr>
      </w:pPr>
      <w:r>
        <w:rPr>
          <w:b/>
          <w:sz w:val="22"/>
          <w:szCs w:val="22"/>
          <w:lang w:val="pt-BR"/>
        </w:rPr>
        <w:t xml:space="preserve">LICITAÇÃO MODO DE DISPUTA ABERTO N° N. </w:t>
      </w:r>
      <w:r>
        <w:rPr>
          <w:rFonts w:hint="default"/>
          <w:b/>
          <w:sz w:val="22"/>
          <w:szCs w:val="22"/>
          <w:lang w:val="pt-BR"/>
        </w:rPr>
        <w:t>0002</w:t>
      </w:r>
      <w:r>
        <w:rPr>
          <w:b/>
          <w:sz w:val="22"/>
          <w:szCs w:val="22"/>
          <w:lang w:val="pt-BR"/>
        </w:rPr>
        <w:t xml:space="preserve">/2019 </w:t>
      </w:r>
    </w:p>
    <w:p>
      <w:pPr>
        <w:spacing w:before="1"/>
        <w:ind w:left="440" w:leftChars="200" w:right="268" w:rightChars="122" w:firstLine="0" w:firstLineChars="0"/>
        <w:jc w:val="left"/>
        <w:rPr>
          <w:b/>
          <w:sz w:val="22"/>
          <w:szCs w:val="22"/>
          <w:lang w:val="pt-BR"/>
        </w:rPr>
      </w:pPr>
      <w:r>
        <w:rPr>
          <w:b/>
          <w:sz w:val="22"/>
          <w:szCs w:val="22"/>
        </w:rPr>
        <w:t xml:space="preserve">Processo </w:t>
      </w:r>
      <w:r>
        <w:rPr>
          <w:b/>
          <w:sz w:val="22"/>
          <w:szCs w:val="22"/>
          <w:lang w:val="pt-BR"/>
        </w:rPr>
        <w:t xml:space="preserve">Administrativo n. </w:t>
      </w:r>
      <w:r>
        <w:rPr>
          <w:b/>
          <w:sz w:val="22"/>
          <w:szCs w:val="22"/>
        </w:rPr>
        <w:t xml:space="preserve"> </w:t>
      </w:r>
      <w:r>
        <w:rPr>
          <w:rFonts w:hint="default"/>
          <w:b/>
          <w:sz w:val="22"/>
          <w:szCs w:val="22"/>
          <w:lang w:val="pt-BR"/>
        </w:rPr>
        <w:t>5292</w:t>
      </w:r>
      <w:r>
        <w:rPr>
          <w:b/>
          <w:sz w:val="22"/>
          <w:szCs w:val="22"/>
          <w:lang w:val="pt-BR"/>
        </w:rPr>
        <w:t>/2019</w:t>
      </w:r>
    </w:p>
    <w:p>
      <w:pPr>
        <w:spacing w:before="0"/>
        <w:ind w:left="440" w:leftChars="200" w:right="268" w:rightChars="122" w:firstLine="0" w:firstLineChars="0"/>
        <w:jc w:val="both"/>
        <w:rPr>
          <w:rFonts w:hint="default"/>
          <w:b w:val="0"/>
          <w:bCs/>
          <w:sz w:val="22"/>
          <w:szCs w:val="22"/>
          <w:lang w:val="pt-BR"/>
        </w:rPr>
      </w:pPr>
      <w:r>
        <w:rPr>
          <w:b/>
          <w:sz w:val="22"/>
          <w:szCs w:val="22"/>
        </w:rPr>
        <w:t>Objeto:</w:t>
      </w:r>
      <w:r>
        <w:rPr>
          <w:rFonts w:hint="default"/>
          <w:b/>
          <w:sz w:val="22"/>
          <w:szCs w:val="22"/>
          <w:lang w:val="pt-BR"/>
        </w:rPr>
        <w:t xml:space="preserve"> Elaboração do Plano de Segurança de Barragem</w:t>
      </w:r>
    </w:p>
    <w:p>
      <w:pPr>
        <w:spacing w:before="0"/>
        <w:ind w:left="440" w:leftChars="200" w:right="268" w:rightChars="122" w:firstLine="0" w:firstLineChars="0"/>
        <w:jc w:val="left"/>
        <w:rPr>
          <w:b/>
          <w:sz w:val="22"/>
          <w:szCs w:val="22"/>
        </w:rPr>
      </w:pPr>
      <w:r>
        <w:rPr>
          <w:b/>
          <w:sz w:val="22"/>
          <w:szCs w:val="22"/>
        </w:rPr>
        <w:t xml:space="preserve">RAZÃO SOCIAL DO LICITANTE: </w:t>
      </w:r>
    </w:p>
    <w:p>
      <w:pPr>
        <w:spacing w:before="0"/>
        <w:ind w:left="440" w:leftChars="200" w:right="268" w:rightChars="122" w:firstLine="0" w:firstLineChars="0"/>
        <w:jc w:val="left"/>
        <w:rPr>
          <w:b/>
          <w:sz w:val="22"/>
          <w:szCs w:val="22"/>
        </w:rPr>
      </w:pPr>
      <w:r>
        <w:rPr>
          <w:b/>
          <w:sz w:val="22"/>
          <w:szCs w:val="22"/>
        </w:rPr>
        <w:t>CNPJ:</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p>
    <w:p>
      <w:pPr>
        <w:spacing w:before="204"/>
        <w:ind w:left="440" w:leftChars="200" w:right="268" w:rightChars="122" w:firstLine="0" w:firstLineChars="0"/>
        <w:jc w:val="left"/>
        <w:rPr>
          <w:b/>
          <w:sz w:val="22"/>
          <w:szCs w:val="22"/>
        </w:rPr>
      </w:pPr>
      <w:r>
        <w:rPr>
          <w:b/>
          <w:sz w:val="22"/>
          <w:szCs w:val="22"/>
          <w:lang w:val="pt-BR"/>
        </w:rPr>
        <w:t>E</w:t>
      </w:r>
      <w:r>
        <w:rPr>
          <w:b/>
          <w:sz w:val="22"/>
          <w:szCs w:val="22"/>
        </w:rPr>
        <w:t xml:space="preserve">NVELOPE </w:t>
      </w:r>
      <w:r>
        <w:rPr>
          <w:b/>
          <w:sz w:val="22"/>
          <w:szCs w:val="22"/>
          <w:lang w:val="pt-BR"/>
        </w:rPr>
        <w:t xml:space="preserve">B - </w:t>
      </w:r>
      <w:r>
        <w:rPr>
          <w:b/>
          <w:sz w:val="22"/>
          <w:szCs w:val="22"/>
        </w:rPr>
        <w:t xml:space="preserve">DOCUMENTOS DE HABILITAÇÃO </w:t>
      </w:r>
    </w:p>
    <w:p>
      <w:pPr>
        <w:spacing w:before="1"/>
        <w:ind w:left="440" w:leftChars="200" w:right="268" w:rightChars="122" w:firstLine="0" w:firstLineChars="0"/>
        <w:jc w:val="left"/>
        <w:rPr>
          <w:b/>
          <w:sz w:val="22"/>
          <w:szCs w:val="22"/>
          <w:lang w:val="pt-BR"/>
        </w:rPr>
      </w:pPr>
      <w:r>
        <w:rPr>
          <w:b/>
          <w:sz w:val="22"/>
          <w:szCs w:val="22"/>
          <w:lang w:val="pt-BR"/>
        </w:rPr>
        <w:t xml:space="preserve">LICITAÇÃO  MODO DE DISPUTA ABERTO N° N. </w:t>
      </w:r>
      <w:r>
        <w:rPr>
          <w:rFonts w:hint="default"/>
          <w:b/>
          <w:sz w:val="22"/>
          <w:szCs w:val="22"/>
          <w:lang w:val="pt-BR"/>
        </w:rPr>
        <w:t>0002</w:t>
      </w:r>
      <w:r>
        <w:rPr>
          <w:b/>
          <w:sz w:val="22"/>
          <w:szCs w:val="22"/>
          <w:lang w:val="pt-BR"/>
        </w:rPr>
        <w:t xml:space="preserve">/2019 </w:t>
      </w:r>
    </w:p>
    <w:p>
      <w:pPr>
        <w:spacing w:before="1"/>
        <w:ind w:left="440" w:leftChars="200" w:right="268" w:rightChars="122" w:firstLine="0" w:firstLineChars="0"/>
        <w:jc w:val="left"/>
        <w:rPr>
          <w:b/>
          <w:sz w:val="22"/>
          <w:szCs w:val="22"/>
          <w:lang w:val="pt-BR"/>
        </w:rPr>
      </w:pPr>
      <w:r>
        <w:rPr>
          <w:b/>
          <w:sz w:val="22"/>
          <w:szCs w:val="22"/>
        </w:rPr>
        <w:t xml:space="preserve">Processo </w:t>
      </w:r>
      <w:r>
        <w:rPr>
          <w:b/>
          <w:sz w:val="22"/>
          <w:szCs w:val="22"/>
          <w:lang w:val="pt-BR"/>
        </w:rPr>
        <w:t xml:space="preserve">Administrativo n. </w:t>
      </w:r>
      <w:r>
        <w:rPr>
          <w:b/>
          <w:sz w:val="22"/>
          <w:szCs w:val="22"/>
        </w:rPr>
        <w:t xml:space="preserve"> </w:t>
      </w:r>
      <w:r>
        <w:rPr>
          <w:rFonts w:hint="default"/>
          <w:b/>
          <w:sz w:val="22"/>
          <w:szCs w:val="22"/>
          <w:lang w:val="pt-BR"/>
        </w:rPr>
        <w:t>5292</w:t>
      </w:r>
      <w:r>
        <w:rPr>
          <w:b/>
          <w:sz w:val="22"/>
          <w:szCs w:val="22"/>
        </w:rPr>
        <w:t>/</w:t>
      </w:r>
      <w:r>
        <w:rPr>
          <w:b/>
          <w:sz w:val="22"/>
          <w:szCs w:val="22"/>
          <w:lang w:val="pt-BR"/>
        </w:rPr>
        <w:t>20</w:t>
      </w:r>
      <w:r>
        <w:rPr>
          <w:b/>
          <w:sz w:val="22"/>
          <w:szCs w:val="22"/>
        </w:rPr>
        <w:t>1</w:t>
      </w:r>
      <w:r>
        <w:rPr>
          <w:b/>
          <w:sz w:val="22"/>
          <w:szCs w:val="22"/>
          <w:lang w:val="pt-BR"/>
        </w:rPr>
        <w:t>9</w:t>
      </w:r>
    </w:p>
    <w:p>
      <w:pPr>
        <w:spacing w:before="0"/>
        <w:ind w:left="440" w:leftChars="200" w:right="268" w:rightChars="122" w:firstLine="0" w:firstLineChars="0"/>
        <w:jc w:val="both"/>
        <w:rPr>
          <w:rFonts w:hint="default"/>
          <w:b w:val="0"/>
          <w:bCs/>
          <w:sz w:val="22"/>
          <w:szCs w:val="22"/>
          <w:lang w:val="pt-BR"/>
        </w:rPr>
      </w:pPr>
      <w:r>
        <w:rPr>
          <w:b/>
          <w:sz w:val="22"/>
          <w:szCs w:val="22"/>
        </w:rPr>
        <w:t>Objeto:</w:t>
      </w:r>
      <w:r>
        <w:rPr>
          <w:b w:val="0"/>
          <w:bCs/>
          <w:sz w:val="22"/>
          <w:szCs w:val="22"/>
          <w:lang w:val="pt-BR"/>
        </w:rPr>
        <w:t xml:space="preserve"> </w:t>
      </w:r>
      <w:r>
        <w:rPr>
          <w:rFonts w:hint="default"/>
          <w:b/>
          <w:sz w:val="22"/>
          <w:szCs w:val="22"/>
          <w:lang w:val="pt-BR"/>
        </w:rPr>
        <w:t>Elaboração do Plano de Segurança de Barragem</w:t>
      </w:r>
    </w:p>
    <w:p>
      <w:pPr>
        <w:spacing w:before="0"/>
        <w:ind w:left="440" w:leftChars="200" w:right="268" w:rightChars="122" w:firstLine="0" w:firstLineChars="0"/>
        <w:jc w:val="left"/>
        <w:rPr>
          <w:b/>
          <w:sz w:val="22"/>
          <w:szCs w:val="22"/>
        </w:rPr>
      </w:pPr>
      <w:r>
        <w:rPr>
          <w:b/>
          <w:sz w:val="22"/>
          <w:szCs w:val="22"/>
        </w:rPr>
        <w:t xml:space="preserve">RAZÃO SOCIAL DO LICITANTE: </w:t>
      </w:r>
    </w:p>
    <w:p>
      <w:pPr>
        <w:spacing w:before="0"/>
        <w:ind w:left="440" w:leftChars="200" w:right="268" w:rightChars="122" w:firstLine="0" w:firstLineChars="0"/>
        <w:jc w:val="left"/>
        <w:rPr>
          <w:b/>
          <w:sz w:val="22"/>
          <w:szCs w:val="22"/>
        </w:rPr>
      </w:pPr>
      <w:r>
        <w:rPr>
          <w:b/>
          <w:sz w:val="22"/>
          <w:szCs w:val="22"/>
        </w:rPr>
        <w:t>CNPJ:</w:t>
      </w:r>
    </w:p>
    <w:p>
      <w:pPr>
        <w:pStyle w:val="6"/>
        <w:spacing w:before="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higidez, a juízo da Comissão Permanente de Licitação -</w:t>
      </w:r>
      <w:r>
        <w:rPr>
          <w:rFonts w:hint="default" w:ascii="Arial" w:hAnsi="Arial" w:cs="Arial"/>
          <w:spacing w:val="-2"/>
          <w:sz w:val="22"/>
          <w:szCs w:val="22"/>
        </w:rPr>
        <w:t xml:space="preserve"> </w:t>
      </w:r>
      <w:r>
        <w:rPr>
          <w:rFonts w:hint="default" w:ascii="Arial" w:hAnsi="Arial" w:cs="Arial"/>
          <w:sz w:val="22"/>
          <w:szCs w:val="22"/>
        </w:rPr>
        <w:t>CPEL.</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a falta da rubrica nas folhas, poderá ser suprida pelo representante credenciado ou por membro da Comissão de Licitação, 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Deverão constar do Envelope </w:t>
      </w:r>
      <w:r>
        <w:rPr>
          <w:rFonts w:hint="default" w:cs="Arial"/>
          <w:sz w:val="22"/>
          <w:szCs w:val="22"/>
          <w:lang w:val="pt-BR"/>
        </w:rPr>
        <w:t>A</w:t>
      </w:r>
      <w:r>
        <w:rPr>
          <w:rFonts w:hint="default" w:ascii="Arial" w:hAnsi="Arial" w:cs="Arial"/>
          <w:sz w:val="22"/>
          <w:szCs w:val="22"/>
        </w:rPr>
        <w:t>, a proposta de preços</w:t>
      </w:r>
      <w:r>
        <w:rPr>
          <w:rFonts w:hint="default" w:cs="Arial"/>
          <w:sz w:val="22"/>
          <w:szCs w:val="22"/>
          <w:lang w:val="pt-BR"/>
        </w:rPr>
        <w:t xml:space="preserve"> formulada pelo licitante, preferencialmente, conforme o modelo do </w:t>
      </w:r>
      <w:r>
        <w:rPr>
          <w:rFonts w:hint="default" w:cs="Arial"/>
          <w:color w:val="000000" w:themeColor="text1"/>
          <w:sz w:val="22"/>
          <w:szCs w:val="22"/>
          <w:lang w:val="pt-BR"/>
          <w14:textFill>
            <w14:solidFill>
              <w14:schemeClr w14:val="tx1"/>
            </w14:solidFill>
          </w14:textFill>
        </w:rPr>
        <w:t>ANEXO V.</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tabs>
          <w:tab w:val="left" w:pos="213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6"/>
        <w:spacing w:before="10"/>
        <w:ind w:left="440" w:leftChars="200" w:right="268" w:rightChars="122" w:firstLine="0" w:firstLineChars="0"/>
        <w:jc w:val="both"/>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6"/>
        <w:spacing w:before="10"/>
        <w:ind w:left="440" w:leftChars="200" w:right="268" w:rightChars="122" w:firstLine="0" w:firstLineChars="0"/>
        <w:jc w:val="both"/>
        <w:rPr>
          <w:rFonts w:hint="default" w:ascii="Arial" w:hAnsi="Arial" w:cs="Arial"/>
          <w:sz w:val="22"/>
          <w:szCs w:val="22"/>
        </w:rPr>
      </w:pPr>
    </w:p>
    <w:p>
      <w:pPr>
        <w:pStyle w:val="19"/>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6"/>
        <w:spacing w:before="10"/>
        <w:ind w:left="440" w:leftChars="200" w:right="268" w:rightChars="122" w:firstLine="0" w:firstLineChars="0"/>
        <w:jc w:val="both"/>
        <w:rPr>
          <w:rFonts w:hint="default" w:ascii="Arial" w:hAnsi="Arial" w:cs="Arial"/>
          <w:sz w:val="22"/>
          <w:szCs w:val="22"/>
        </w:rPr>
      </w:pPr>
    </w:p>
    <w:p>
      <w:pPr>
        <w:pStyle w:val="19"/>
        <w:numPr>
          <w:ilvl w:val="1"/>
          <w:numId w:val="1"/>
        </w:numPr>
        <w:tabs>
          <w:tab w:val="left" w:pos="1284"/>
        </w:tabs>
        <w:spacing w:before="0" w:after="0" w:line="240" w:lineRule="auto"/>
        <w:ind w:left="440" w:leftChars="200" w:right="268" w:rightChars="122" w:firstLine="0" w:firstLineChars="0"/>
        <w:jc w:val="both"/>
        <w:rPr>
          <w:rFonts w:hint="default" w:ascii="Arial" w:hAnsi="Arial" w:cs="Arial"/>
          <w:sz w:val="22"/>
          <w:szCs w:val="22"/>
          <w:lang w:val="en-US"/>
        </w:rPr>
      </w:pPr>
      <w:r>
        <w:rPr>
          <w:rFonts w:hint="default" w:ascii="Arial" w:hAnsi="Arial" w:cs="Arial"/>
          <w:sz w:val="22"/>
          <w:szCs w:val="22"/>
        </w:rPr>
        <w:t xml:space="preserve">O valor estimado do objeto desta licitação </w:t>
      </w:r>
      <w:r>
        <w:rPr>
          <w:rFonts w:hint="default" w:cs="Arial"/>
          <w:sz w:val="22"/>
          <w:szCs w:val="22"/>
          <w:lang w:val="pt-BR"/>
        </w:rPr>
        <w:t>é sigiloso, nos termos do art. 34 da Lei Federal n. 13.303/16.</w:t>
      </w:r>
    </w:p>
    <w:p>
      <w:pPr>
        <w:pStyle w:val="19"/>
        <w:numPr>
          <w:ilvl w:val="0"/>
          <w:numId w:val="0"/>
        </w:numPr>
        <w:tabs>
          <w:tab w:val="left" w:pos="1284"/>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p>
    <w:p>
      <w:pPr>
        <w:pStyle w:val="19"/>
        <w:numPr>
          <w:ilvl w:val="1"/>
          <w:numId w:val="1"/>
        </w:numPr>
        <w:tabs>
          <w:tab w:val="left" w:pos="1284"/>
        </w:tabs>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em momento oportuno, a proposta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comercial,</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adequada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aos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valores finais por ele ofertados</w:t>
      </w:r>
      <w:r>
        <w:rPr>
          <w:rFonts w:hint="default" w:cs="Arial"/>
          <w:color w:val="000000" w:themeColor="text1"/>
          <w:sz w:val="22"/>
          <w:szCs w:val="22"/>
          <w:lang w:val="pt-BR"/>
          <w14:textFill>
            <w14:solidFill>
              <w14:schemeClr w14:val="tx1"/>
            </w14:solidFill>
          </w14:textFill>
        </w:rPr>
        <w:t>.</w:t>
      </w:r>
    </w:p>
    <w:p>
      <w:pPr>
        <w:pStyle w:val="6"/>
        <w:spacing w:before="11"/>
        <w:ind w:left="440" w:leftChars="200" w:right="268" w:rightChars="122" w:firstLine="0" w:firstLineChars="0"/>
        <w:rPr>
          <w:rFonts w:hint="default" w:ascii="Arial" w:hAnsi="Arial" w:cs="Arial"/>
          <w:color w:val="FF0000"/>
          <w:sz w:val="22"/>
          <w:szCs w:val="22"/>
        </w:rPr>
      </w:pPr>
    </w:p>
    <w:p>
      <w:pPr>
        <w:pStyle w:val="19"/>
        <w:numPr>
          <w:ilvl w:val="1"/>
          <w:numId w:val="1"/>
        </w:numPr>
        <w:tabs>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documentos</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devem</w:t>
      </w:r>
      <w:r>
        <w:rPr>
          <w:rFonts w:hint="default" w:ascii="Arial" w:hAnsi="Arial" w:cs="Arial"/>
          <w:spacing w:val="-5"/>
          <w:sz w:val="22"/>
          <w:szCs w:val="22"/>
        </w:rPr>
        <w:t xml:space="preserve"> </w:t>
      </w:r>
      <w:r>
        <w:rPr>
          <w:rFonts w:hint="default" w:ascii="Arial" w:hAnsi="Arial" w:cs="Arial"/>
          <w:sz w:val="22"/>
          <w:szCs w:val="22"/>
        </w:rPr>
        <w:t>constar</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Envelope</w:t>
      </w:r>
      <w:r>
        <w:rPr>
          <w:rFonts w:hint="default" w:ascii="Arial" w:hAnsi="Arial" w:cs="Arial"/>
          <w:spacing w:val="-6"/>
          <w:sz w:val="22"/>
          <w:szCs w:val="22"/>
        </w:rPr>
        <w:t xml:space="preserve"> </w:t>
      </w:r>
      <w:r>
        <w:rPr>
          <w:rFonts w:hint="default" w:cs="Arial"/>
          <w:sz w:val="22"/>
          <w:szCs w:val="22"/>
          <w:lang w:val="pt-BR"/>
        </w:rPr>
        <w:t>B</w:t>
      </w:r>
      <w:r>
        <w:rPr>
          <w:rFonts w:hint="default" w:ascii="Arial" w:hAnsi="Arial" w:cs="Arial"/>
          <w:spacing w:val="-2"/>
          <w:sz w:val="22"/>
          <w:szCs w:val="22"/>
        </w:rPr>
        <w:t xml:space="preserve"> </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 xml:space="preserve">Documentos de Habilitação é aquele </w:t>
      </w:r>
      <w:r>
        <w:rPr>
          <w:rFonts w:hint="default" w:ascii="Arial" w:hAnsi="Arial" w:cs="Arial"/>
          <w:color w:val="000000" w:themeColor="text1"/>
          <w:sz w:val="22"/>
          <w:szCs w:val="22"/>
          <w14:textFill>
            <w14:solidFill>
              <w14:schemeClr w14:val="tx1"/>
            </w14:solidFill>
          </w14:textFill>
        </w:rPr>
        <w:t xml:space="preserve">constante do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9"/>
        <w:numPr>
          <w:ilvl w:val="0"/>
          <w:numId w:val="0"/>
        </w:numPr>
        <w:tabs>
          <w:tab w:val="left" w:pos="1289"/>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1"/>
          <w:numId w:val="1"/>
        </w:numPr>
        <w:tabs>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demais regras relativas à habilitação estão disciplin</w:t>
      </w:r>
      <w:r>
        <w:rPr>
          <w:rFonts w:hint="default" w:ascii="Arial" w:hAnsi="Arial" w:cs="Arial"/>
          <w:color w:val="000000" w:themeColor="text1"/>
          <w:sz w:val="22"/>
          <w:szCs w:val="22"/>
          <w14:textFill>
            <w14:solidFill>
              <w14:schemeClr w14:val="tx1"/>
            </w14:solidFill>
          </w14:textFill>
        </w:rPr>
        <w:t xml:space="preserve">adas no item </w:t>
      </w:r>
      <w:r>
        <w:rPr>
          <w:rFonts w:hint="default" w:ascii="Arial" w:hAnsi="Arial" w:cs="Arial"/>
          <w:color w:val="000000" w:themeColor="text1"/>
          <w:sz w:val="22"/>
          <w:szCs w:val="22"/>
          <w:lang w:val="pt-BR"/>
          <w14:textFill>
            <w14:solidFill>
              <w14:schemeClr w14:val="tx1"/>
            </w14:solidFill>
          </w14:textFill>
        </w:rPr>
        <w:t>15</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9"/>
        <w:numPr>
          <w:ilvl w:val="1"/>
          <w:numId w:val="1"/>
        </w:numPr>
        <w:tabs>
          <w:tab w:val="left" w:pos="1430"/>
        </w:tabs>
        <w:spacing w:before="18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04</w:t>
      </w:r>
      <w:r>
        <w:rPr>
          <w:rFonts w:hint="default" w:ascii="Arial" w:hAnsi="Arial" w:cs="Arial"/>
          <w:b/>
          <w:sz w:val="22"/>
          <w:szCs w:val="22"/>
        </w:rPr>
        <w:t>/</w:t>
      </w:r>
      <w:r>
        <w:rPr>
          <w:rFonts w:hint="default" w:cs="Arial"/>
          <w:b/>
          <w:sz w:val="22"/>
          <w:szCs w:val="22"/>
          <w:lang w:val="pt-BR"/>
        </w:rPr>
        <w:t>09</w:t>
      </w:r>
      <w:r>
        <w:rPr>
          <w:rFonts w:hint="default" w:ascii="Arial" w:hAnsi="Arial" w:cs="Arial"/>
          <w:b/>
          <w:sz w:val="22"/>
          <w:szCs w:val="22"/>
        </w:rPr>
        <w:t>/</w:t>
      </w:r>
      <w:r>
        <w:rPr>
          <w:rFonts w:hint="default" w:cs="Arial"/>
          <w:b/>
          <w:sz w:val="22"/>
          <w:szCs w:val="22"/>
          <w:lang w:val="pt-BR"/>
        </w:rPr>
        <w:t>2019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00</w:t>
      </w:r>
      <w:r>
        <w:rPr>
          <w:rFonts w:hint="default" w:ascii="Arial" w:hAnsi="Arial" w:cs="Arial"/>
          <w:b/>
          <w:sz w:val="22"/>
          <w:szCs w:val="22"/>
        </w:rPr>
        <w:t xml:space="preserve"> (</w:t>
      </w:r>
      <w:r>
        <w:rPr>
          <w:rFonts w:hint="default" w:cs="Arial"/>
          <w:b/>
          <w:sz w:val="22"/>
          <w:szCs w:val="22"/>
          <w:lang w:val="pt-BR"/>
        </w:rPr>
        <w:t>treze) horas</w:t>
      </w:r>
      <w:r>
        <w:rPr>
          <w:rFonts w:hint="default" w:ascii="Arial" w:hAnsi="Arial" w:cs="Arial"/>
          <w:sz w:val="22"/>
          <w:szCs w:val="22"/>
        </w:rPr>
        <w:t>, será aberta, pela Comissão Permanente</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7"/>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6"/>
        <w:ind w:left="440" w:leftChars="200" w:right="268" w:rightChars="122" w:firstLine="0" w:firstLineChars="0"/>
        <w:rPr>
          <w:rFonts w:hint="default" w:ascii="Arial" w:hAnsi="Arial" w:cs="Arial"/>
          <w:sz w:val="22"/>
          <w:szCs w:val="22"/>
        </w:rPr>
      </w:pPr>
    </w:p>
    <w:p>
      <w:pPr>
        <w:pStyle w:val="19"/>
        <w:numPr>
          <w:ilvl w:val="2"/>
          <w:numId w:val="1"/>
        </w:numPr>
        <w:tabs>
          <w:tab w:val="left" w:pos="213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Comissão Permanente de Licitação – CPEL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29"/>
          <w:tab w:val="left" w:pos="143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Aberta a sessão, a Comissão Permanente de Licitação – CPEL 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Após o encerramento do credenciamento e identificação dos representantes, será realizada a abertura das propostas de preços, classificando-as</w:t>
      </w:r>
      <w:r>
        <w:rPr>
          <w:rFonts w:hint="default" w:ascii="Arial" w:hAnsi="Arial" w:cs="Arial"/>
          <w:sz w:val="22"/>
          <w:szCs w:val="22"/>
          <w:lang w:val="pt-BR"/>
        </w:rPr>
        <w:t>,</w:t>
      </w:r>
      <w:r>
        <w:rPr>
          <w:rFonts w:hint="default" w:cs="Arial"/>
          <w:sz w:val="22"/>
          <w:szCs w:val="22"/>
          <w:lang w:val="pt-BR"/>
        </w:rPr>
        <w:t xml:space="preserve"> de acordo com o critério de julgamento adotado,</w:t>
      </w:r>
      <w:r>
        <w:rPr>
          <w:rFonts w:hint="default" w:ascii="Arial" w:hAnsi="Arial" w:cs="Arial"/>
          <w:sz w:val="22"/>
          <w:szCs w:val="22"/>
          <w:lang w:val="pt-BR"/>
        </w:rPr>
        <w:t xml:space="preserve"> </w:t>
      </w:r>
      <w:r>
        <w:rPr>
          <w:rFonts w:hint="default" w:ascii="Arial" w:hAnsi="Arial" w:cs="Arial"/>
          <w:sz w:val="22"/>
          <w:szCs w:val="22"/>
        </w:rPr>
        <w:t>fim de dar início à fase de</w:t>
      </w:r>
      <w:r>
        <w:rPr>
          <w:rFonts w:hint="default" w:ascii="Arial" w:hAnsi="Arial" w:cs="Arial"/>
          <w:spacing w:val="-7"/>
          <w:sz w:val="22"/>
          <w:szCs w:val="22"/>
        </w:rPr>
        <w:t xml:space="preserve"> </w:t>
      </w:r>
      <w:r>
        <w:rPr>
          <w:rFonts w:hint="default" w:ascii="Arial" w:hAnsi="Arial" w:cs="Arial"/>
          <w:sz w:val="22"/>
          <w:szCs w:val="22"/>
        </w:rPr>
        <w:t>lances.</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2"/>
          <w:numId w:val="1"/>
        </w:numPr>
        <w:tabs>
          <w:tab w:val="left" w:pos="248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6"/>
        <w:spacing w:before="10"/>
        <w:ind w:left="440" w:leftChars="200" w:right="268" w:rightChars="122" w:firstLine="0" w:firstLineChars="0"/>
        <w:jc w:val="both"/>
        <w:rPr>
          <w:rFonts w:hint="default" w:ascii="Arial" w:hAnsi="Arial" w:cs="Arial"/>
          <w:sz w:val="22"/>
          <w:szCs w:val="22"/>
        </w:rPr>
      </w:pPr>
    </w:p>
    <w:p>
      <w:pPr>
        <w:pStyle w:val="6"/>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9</w:t>
      </w:r>
      <w:r>
        <w:rPr>
          <w:rFonts w:hint="default" w:ascii="Arial" w:hAnsi="Arial" w:cs="Arial"/>
          <w:sz w:val="22"/>
          <w:szCs w:val="22"/>
        </w:rPr>
        <w:t>.3.1.1. Os lances serão realizados pelo valor global do lote.</w:t>
      </w:r>
    </w:p>
    <w:p>
      <w:pPr>
        <w:pStyle w:val="6"/>
        <w:spacing w:before="10"/>
        <w:ind w:left="440" w:leftChars="200" w:right="268" w:rightChars="122" w:firstLine="0" w:firstLineChars="0"/>
        <w:jc w:val="both"/>
        <w:rPr>
          <w:rFonts w:hint="default" w:ascii="Arial" w:hAnsi="Arial" w:cs="Arial"/>
          <w:sz w:val="22"/>
          <w:szCs w:val="22"/>
        </w:rPr>
      </w:pPr>
    </w:p>
    <w:p>
      <w:pPr>
        <w:pStyle w:val="19"/>
        <w:numPr>
          <w:ilvl w:val="0"/>
          <w:numId w:val="0"/>
        </w:numPr>
        <w:tabs>
          <w:tab w:val="left" w:pos="245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9.3.2. </w:t>
      </w:r>
      <w:r>
        <w:rPr>
          <w:rFonts w:hint="default" w:ascii="Arial" w:hAnsi="Arial" w:cs="Arial"/>
          <w:sz w:val="22"/>
          <w:szCs w:val="22"/>
        </w:rPr>
        <w:t>A Comissão Permanente de Licitação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9"/>
        <w:numPr>
          <w:ilvl w:val="0"/>
          <w:numId w:val="0"/>
        </w:numPr>
        <w:tabs>
          <w:tab w:val="left" w:pos="2458"/>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0"/>
          <w:numId w:val="0"/>
        </w:numPr>
        <w:tabs>
          <w:tab w:val="left" w:pos="245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9.3.3. </w:t>
      </w:r>
      <w:r>
        <w:rPr>
          <w:rFonts w:hint="default" w:ascii="Arial" w:hAnsi="Arial" w:cs="Arial"/>
          <w:sz w:val="22"/>
          <w:szCs w:val="22"/>
        </w:rPr>
        <w:t>A desistência em apresentar lance verbal, quando convocado pela CPEL,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9"/>
        <w:numPr>
          <w:ilvl w:val="0"/>
          <w:numId w:val="0"/>
        </w:numPr>
        <w:tabs>
          <w:tab w:val="left" w:pos="2458"/>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0"/>
          <w:numId w:val="0"/>
        </w:numPr>
        <w:tabs>
          <w:tab w:val="left" w:pos="2458"/>
        </w:tabs>
        <w:spacing w:before="0" w:after="0" w:line="240" w:lineRule="auto"/>
        <w:ind w:left="440" w:leftChars="200" w:right="268" w:rightChars="122" w:firstLine="0" w:firstLineChars="0"/>
        <w:jc w:val="both"/>
        <w:rPr>
          <w:rFonts w:hint="default" w:ascii="Arial" w:hAnsi="Arial" w:cs="Arial"/>
          <w:sz w:val="22"/>
          <w:szCs w:val="22"/>
          <w:lang w:val="pt-BR"/>
        </w:rPr>
      </w:pPr>
      <w:r>
        <w:rPr>
          <w:rFonts w:hint="default" w:ascii="Arial" w:hAnsi="Arial" w:cs="Arial"/>
          <w:sz w:val="22"/>
          <w:szCs w:val="22"/>
          <w:lang w:val="pt-BR"/>
        </w:rPr>
        <w:t>9.3.</w:t>
      </w:r>
      <w:r>
        <w:rPr>
          <w:rFonts w:hint="default" w:cs="Arial"/>
          <w:sz w:val="22"/>
          <w:szCs w:val="22"/>
          <w:lang w:val="pt-BR"/>
        </w:rPr>
        <w:t>4</w:t>
      </w:r>
      <w:r>
        <w:rPr>
          <w:rFonts w:hint="default" w:ascii="Arial" w:hAnsi="Arial" w:cs="Arial"/>
          <w:sz w:val="22"/>
          <w:szCs w:val="22"/>
          <w:lang w:val="pt-BR"/>
        </w:rPr>
        <w:t xml:space="preserve">.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lang w:val="pt-BR"/>
        </w:rPr>
      </w:pPr>
    </w:p>
    <w:p>
      <w:pPr>
        <w:pStyle w:val="19"/>
        <w:numPr>
          <w:ilvl w:val="1"/>
          <w:numId w:val="1"/>
        </w:numPr>
        <w:tabs>
          <w:tab w:val="left" w:pos="110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6"/>
        <w:spacing w:before="9"/>
        <w:ind w:left="440" w:leftChars="200" w:right="268" w:rightChars="122" w:firstLine="0" w:firstLineChars="0"/>
        <w:jc w:val="both"/>
        <w:rPr>
          <w:rFonts w:hint="default" w:ascii="Arial" w:hAnsi="Arial" w:cs="Arial"/>
          <w:sz w:val="22"/>
          <w:szCs w:val="22"/>
        </w:rPr>
      </w:pPr>
    </w:p>
    <w:p>
      <w:pPr>
        <w:pStyle w:val="19"/>
        <w:numPr>
          <w:ilvl w:val="1"/>
          <w:numId w:val="1"/>
        </w:numPr>
        <w:tabs>
          <w:tab w:val="left" w:pos="110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6"/>
        <w:spacing w:before="10"/>
        <w:ind w:left="440" w:leftChars="200" w:right="268" w:rightChars="122" w:firstLine="0" w:firstLineChars="0"/>
        <w:jc w:val="both"/>
        <w:rPr>
          <w:rFonts w:hint="default" w:ascii="Arial" w:hAnsi="Arial" w:cs="Arial"/>
          <w:sz w:val="22"/>
          <w:szCs w:val="22"/>
        </w:rPr>
      </w:pPr>
    </w:p>
    <w:p>
      <w:pPr>
        <w:pStyle w:val="19"/>
        <w:numPr>
          <w:ilvl w:val="1"/>
          <w:numId w:val="1"/>
        </w:numPr>
        <w:tabs>
          <w:tab w:val="left" w:pos="1100"/>
          <w:tab w:val="left" w:pos="175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sz w:val="22"/>
          <w:szCs w:val="22"/>
          <w:lang w:val="pt-BR"/>
        </w:rPr>
      </w:pPr>
    </w:p>
    <w:p>
      <w:pPr>
        <w:pStyle w:val="2"/>
        <w:numPr>
          <w:ilvl w:val="0"/>
          <w:numId w:val="1"/>
        </w:numPr>
        <w:tabs>
          <w:tab w:val="left" w:pos="1114"/>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6"/>
        <w:spacing w:before="10"/>
        <w:ind w:left="440" w:leftChars="200" w:right="268" w:rightChars="122" w:firstLine="0" w:firstLineChars="0"/>
        <w:rPr>
          <w:rFonts w:hint="default" w:ascii="Arial" w:hAnsi="Arial" w:cs="Arial"/>
          <w:b/>
          <w:sz w:val="22"/>
          <w:szCs w:val="22"/>
        </w:rPr>
      </w:pPr>
    </w:p>
    <w:p>
      <w:pPr>
        <w:pStyle w:val="19"/>
        <w:numPr>
          <w:ilvl w:val="1"/>
          <w:numId w:val="1"/>
        </w:numPr>
        <w:tabs>
          <w:tab w:val="left" w:pos="132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6"/>
        <w:spacing w:before="11"/>
        <w:ind w:left="440" w:leftChars="200" w:right="268" w:rightChars="122" w:firstLine="0" w:firstLineChars="0"/>
        <w:rPr>
          <w:rFonts w:hint="default" w:ascii="Arial" w:hAnsi="Arial" w:cs="Arial"/>
          <w:sz w:val="22"/>
          <w:szCs w:val="22"/>
        </w:rPr>
      </w:pPr>
    </w:p>
    <w:p>
      <w:pPr>
        <w:pStyle w:val="19"/>
        <w:numPr>
          <w:ilvl w:val="2"/>
          <w:numId w:val="1"/>
        </w:numPr>
        <w:tabs>
          <w:tab w:val="left" w:pos="213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julgamento será realizado conforme o critério</w:t>
      </w:r>
      <w:r>
        <w:rPr>
          <w:rFonts w:hint="default" w:ascii="Arial" w:hAnsi="Arial" w:cs="Arial"/>
          <w:spacing w:val="-29"/>
          <w:sz w:val="22"/>
          <w:szCs w:val="22"/>
        </w:rPr>
        <w:t xml:space="preserve"> </w:t>
      </w:r>
      <w:r>
        <w:rPr>
          <w:rFonts w:hint="default" w:ascii="Arial" w:hAnsi="Arial" w:cs="Arial"/>
          <w:sz w:val="22"/>
          <w:szCs w:val="22"/>
        </w:rPr>
        <w:t>supramencionado, classificando os</w:t>
      </w:r>
      <w:r>
        <w:rPr>
          <w:rFonts w:hint="default" w:ascii="Arial" w:hAnsi="Arial" w:cs="Arial"/>
          <w:spacing w:val="-3"/>
          <w:sz w:val="22"/>
          <w:szCs w:val="22"/>
        </w:rPr>
        <w:t xml:space="preserve"> </w:t>
      </w:r>
      <w:r>
        <w:rPr>
          <w:rFonts w:hint="default" w:ascii="Arial" w:hAnsi="Arial" w:cs="Arial"/>
          <w:sz w:val="22"/>
          <w:szCs w:val="22"/>
        </w:rPr>
        <w:t>licitantes.</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lang w:val="pt-BR"/>
        </w:rPr>
        <w:t>DO REINÍCIO DA DISPUTA ABERTA</w:t>
      </w:r>
    </w:p>
    <w:p>
      <w:pPr>
        <w:ind w:left="440" w:leftChars="200" w:right="268" w:rightChars="122" w:firstLine="0" w:firstLineChars="0"/>
        <w:rPr>
          <w:rFonts w:hint="default" w:ascii="Arial" w:hAnsi="Arial" w:cs="Arial"/>
          <w:sz w:val="22"/>
          <w:szCs w:val="22"/>
          <w:lang w:val="pt-BR"/>
        </w:rPr>
      </w:pPr>
    </w:p>
    <w:p>
      <w:pPr>
        <w:pStyle w:val="19"/>
        <w:numPr>
          <w:ilvl w:val="0"/>
          <w:numId w:val="0"/>
        </w:numPr>
        <w:tabs>
          <w:tab w:val="left" w:pos="175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11.1 </w:t>
      </w:r>
      <w:r>
        <w:rPr>
          <w:rFonts w:hint="default" w:ascii="Arial" w:hAnsi="Arial" w:cs="Arial"/>
          <w:sz w:val="22"/>
          <w:szCs w:val="22"/>
        </w:rPr>
        <w:t>Após o julgamento, quando existir diferença de pelo menos 10% (dez</w:t>
      </w:r>
      <w:r>
        <w:rPr>
          <w:rFonts w:hint="default" w:ascii="Arial" w:hAnsi="Arial" w:cs="Arial"/>
          <w:spacing w:val="-35"/>
          <w:sz w:val="22"/>
          <w:szCs w:val="22"/>
        </w:rPr>
        <w:t xml:space="preserve"> </w:t>
      </w:r>
      <w:r>
        <w:rPr>
          <w:rFonts w:hint="default" w:ascii="Arial" w:hAnsi="Arial" w:cs="Arial"/>
          <w:sz w:val="22"/>
          <w:szCs w:val="22"/>
        </w:rPr>
        <w:t>por cento) entre o melhor lance e o subsequente, a fase de lances poderá ser reiniciada para definição das demais colocações, a critério da Comissão Permanente de Licitação –</w:t>
      </w:r>
      <w:r>
        <w:rPr>
          <w:rFonts w:hint="default" w:ascii="Arial" w:hAnsi="Arial" w:cs="Arial"/>
          <w:spacing w:val="-1"/>
          <w:sz w:val="22"/>
          <w:szCs w:val="22"/>
        </w:rPr>
        <w:t xml:space="preserve"> </w:t>
      </w:r>
      <w:r>
        <w:rPr>
          <w:rFonts w:hint="default" w:ascii="Arial" w:hAnsi="Arial" w:cs="Arial"/>
          <w:sz w:val="22"/>
          <w:szCs w:val="22"/>
        </w:rPr>
        <w:t>CPEL.</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No reinício da disputa aberta, os fornecedores classificados em segundo lugar em diante apresentarão novos lances, a fim de melhorarem suas classificações em relação ao primeiro</w:t>
      </w:r>
      <w:r>
        <w:rPr>
          <w:rFonts w:hint="default" w:ascii="Arial" w:hAnsi="Arial" w:cs="Arial"/>
          <w:spacing w:val="-17"/>
          <w:sz w:val="22"/>
          <w:szCs w:val="22"/>
        </w:rPr>
        <w:t xml:space="preserve"> </w:t>
      </w:r>
      <w:r>
        <w:rPr>
          <w:rFonts w:hint="default" w:ascii="Arial" w:hAnsi="Arial" w:cs="Arial"/>
          <w:sz w:val="22"/>
          <w:szCs w:val="22"/>
        </w:rPr>
        <w:t>classificado.</w:t>
      </w:r>
    </w:p>
    <w:p>
      <w:pPr>
        <w:ind w:left="440" w:leftChars="200" w:right="268" w:rightChars="122" w:firstLine="0" w:firstLineChars="0"/>
        <w:rPr>
          <w:rFonts w:hint="default" w:ascii="Arial" w:hAnsi="Arial" w:cs="Arial"/>
          <w:sz w:val="22"/>
          <w:szCs w:val="22"/>
          <w:lang w:val="pt-BR"/>
        </w:rPr>
      </w:pPr>
    </w:p>
    <w:p>
      <w:pPr>
        <w:pStyle w:val="2"/>
        <w:numPr>
          <w:ilvl w:val="0"/>
          <w:numId w:val="1"/>
        </w:numPr>
        <w:tabs>
          <w:tab w:val="left" w:pos="1114"/>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DESEMPATE</w:t>
      </w:r>
    </w:p>
    <w:p>
      <w:pPr>
        <w:pStyle w:val="6"/>
        <w:spacing w:before="10"/>
        <w:ind w:left="440" w:leftChars="200" w:right="268" w:rightChars="122" w:firstLine="0" w:firstLineChars="0"/>
        <w:rPr>
          <w:rFonts w:hint="default" w:ascii="Arial" w:hAnsi="Arial" w:cs="Arial"/>
          <w:b/>
          <w:sz w:val="22"/>
          <w:szCs w:val="22"/>
        </w:rPr>
      </w:pPr>
    </w:p>
    <w:p>
      <w:pPr>
        <w:pStyle w:val="19"/>
        <w:numPr>
          <w:ilvl w:val="1"/>
          <w:numId w:val="1"/>
        </w:numPr>
        <w:tabs>
          <w:tab w:val="left" w:pos="1320"/>
        </w:tabs>
        <w:spacing w:before="0" w:after="0" w:line="240" w:lineRule="auto"/>
        <w:ind w:left="440" w:leftChars="200" w:right="268" w:rightChars="122" w:firstLine="0" w:firstLineChars="0"/>
        <w:jc w:val="left"/>
        <w:rPr>
          <w:rFonts w:hint="default" w:ascii="Arial" w:hAnsi="Arial" w:cs="Arial"/>
          <w:b/>
          <w:sz w:val="22"/>
          <w:szCs w:val="22"/>
        </w:rPr>
      </w:pPr>
      <w:r>
        <w:rPr>
          <w:rFonts w:hint="default" w:ascii="Arial" w:hAnsi="Arial" w:cs="Arial"/>
          <w:b/>
          <w:sz w:val="22"/>
          <w:szCs w:val="22"/>
        </w:rPr>
        <w:t>DO EMPATE</w:t>
      </w:r>
      <w:r>
        <w:rPr>
          <w:rFonts w:hint="default" w:ascii="Arial" w:hAnsi="Arial" w:cs="Arial"/>
          <w:b/>
          <w:spacing w:val="-1"/>
          <w:sz w:val="22"/>
          <w:szCs w:val="22"/>
        </w:rPr>
        <w:t xml:space="preserve"> </w:t>
      </w:r>
      <w:r>
        <w:rPr>
          <w:rFonts w:hint="default" w:ascii="Arial" w:hAnsi="Arial" w:cs="Arial"/>
          <w:b/>
          <w:sz w:val="22"/>
          <w:szCs w:val="22"/>
        </w:rPr>
        <w:t>FICTO:</w:t>
      </w:r>
    </w:p>
    <w:p>
      <w:pPr>
        <w:pStyle w:val="6"/>
        <w:spacing w:before="10"/>
        <w:ind w:left="440" w:leftChars="200" w:right="268" w:rightChars="122" w:firstLine="0" w:firstLineChars="0"/>
        <w:rPr>
          <w:rFonts w:hint="default" w:ascii="Arial" w:hAnsi="Arial" w:cs="Arial"/>
          <w:b/>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Comissão Permanente de Licitação – CPEL convocará a Microempresa ou a Empresa de Pequeno Porte detentora da melhor proposta dentre aquelas que estejam na situação de empate ficto, ou seja, cujos valores sejam iguais ou superiores até 10% (dez por cento)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6"/>
        <w:spacing w:before="11"/>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 a Microempresa ou a Empresa de Pequeno Porte não apresentar nova proposta, a CPEL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6"/>
        <w:spacing w:before="10"/>
        <w:ind w:left="440" w:leftChars="200" w:right="268" w:rightChars="122" w:firstLine="0" w:firstLineChars="0"/>
        <w:rPr>
          <w:rFonts w:hint="default" w:ascii="Arial" w:hAnsi="Arial" w:cs="Arial"/>
          <w:sz w:val="22"/>
          <w:szCs w:val="22"/>
        </w:rPr>
      </w:pPr>
    </w:p>
    <w:p>
      <w:pPr>
        <w:pStyle w:val="2"/>
        <w:numPr>
          <w:ilvl w:val="1"/>
          <w:numId w:val="1"/>
        </w:numPr>
        <w:tabs>
          <w:tab w:val="left" w:pos="1430"/>
        </w:tabs>
        <w:spacing w:before="1"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DO DESEMPATE – Art. 55 da Lei</w:t>
      </w:r>
      <w:r>
        <w:rPr>
          <w:rFonts w:hint="default" w:ascii="Arial" w:hAnsi="Arial" w:cs="Arial"/>
          <w:spacing w:val="1"/>
          <w:sz w:val="22"/>
          <w:szCs w:val="22"/>
        </w:rPr>
        <w:t xml:space="preserve"> </w:t>
      </w:r>
      <w:r>
        <w:rPr>
          <w:rFonts w:hint="default" w:ascii="Arial" w:hAnsi="Arial" w:cs="Arial"/>
          <w:sz w:val="22"/>
          <w:szCs w:val="22"/>
        </w:rPr>
        <w:t>13.303/2016:</w:t>
      </w:r>
    </w:p>
    <w:p>
      <w:pPr>
        <w:pStyle w:val="6"/>
        <w:spacing w:before="9"/>
        <w:ind w:left="440" w:leftChars="200" w:right="268" w:rightChars="122" w:firstLine="0" w:firstLineChars="0"/>
        <w:rPr>
          <w:rFonts w:hint="default" w:ascii="Arial" w:hAnsi="Arial" w:cs="Arial"/>
          <w:b/>
          <w:sz w:val="22"/>
          <w:szCs w:val="22"/>
        </w:rPr>
      </w:pPr>
    </w:p>
    <w:p>
      <w:pPr>
        <w:pStyle w:val="19"/>
        <w:numPr>
          <w:ilvl w:val="2"/>
          <w:numId w:val="1"/>
        </w:numPr>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Havendo empate entre 2 (duas) propostas, serão utilizados, na ordem em que se encontram enumerados, os seguintes critérios de desempate:</w:t>
      </w:r>
    </w:p>
    <w:p>
      <w:pPr>
        <w:pStyle w:val="6"/>
        <w:spacing w:before="2"/>
        <w:ind w:left="440" w:leftChars="200" w:right="268" w:rightChars="122" w:firstLine="0" w:firstLineChars="0"/>
        <w:rPr>
          <w:rFonts w:hint="default" w:ascii="Arial" w:hAnsi="Arial" w:cs="Arial"/>
          <w:sz w:val="22"/>
          <w:szCs w:val="22"/>
        </w:rPr>
      </w:pPr>
    </w:p>
    <w:p>
      <w:pPr>
        <w:pStyle w:val="19"/>
        <w:numPr>
          <w:ilvl w:val="0"/>
          <w:numId w:val="3"/>
        </w:numPr>
        <w:tabs>
          <w:tab w:val="left" w:pos="132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Disputa final, em que os licitantes empatados poderão apresentar nova proposta.</w:t>
      </w:r>
    </w:p>
    <w:p>
      <w:pPr>
        <w:pStyle w:val="19"/>
        <w:numPr>
          <w:ilvl w:val="0"/>
          <w:numId w:val="3"/>
        </w:numPr>
        <w:tabs>
          <w:tab w:val="left" w:pos="1320"/>
        </w:tabs>
        <w:spacing w:before="0" w:after="0" w:line="235"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Os critérios estabelecidos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8.248, de 23 de outubro de</w:t>
      </w:r>
      <w:r>
        <w:rPr>
          <w:rFonts w:hint="default" w:ascii="Arial" w:hAnsi="Arial" w:cs="Arial"/>
          <w:sz w:val="22"/>
          <w:szCs w:val="22"/>
        </w:rPr>
        <w:fldChar w:fldCharType="end"/>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"http://www.planalto.gov.br/ccivil_03/LEIS/L8248.htm#art3" \h </w:instrText>
      </w:r>
      <w:r>
        <w:rPr>
          <w:rFonts w:hint="default" w:ascii="Arial" w:hAnsi="Arial" w:cs="Arial"/>
          <w:sz w:val="22"/>
          <w:szCs w:val="22"/>
        </w:rPr>
        <w:fldChar w:fldCharType="separate"/>
      </w:r>
      <w:r>
        <w:rPr>
          <w:rFonts w:hint="default" w:ascii="Arial" w:hAnsi="Arial" w:cs="Arial"/>
          <w:sz w:val="22"/>
          <w:szCs w:val="22"/>
        </w:rPr>
        <w:t xml:space="preserve"> 1991</w:t>
      </w:r>
      <w:r>
        <w:rPr>
          <w:rFonts w:hint="default" w:ascii="Arial" w:hAnsi="Arial" w:cs="Arial"/>
          <w:sz w:val="22"/>
          <w:szCs w:val="22"/>
        </w:rPr>
        <w:fldChar w:fldCharType="end"/>
      </w:r>
      <w:r>
        <w:rPr>
          <w:rFonts w:hint="default" w:ascii="Arial" w:hAnsi="Arial" w:cs="Arial"/>
          <w:sz w:val="22"/>
          <w:szCs w:val="22"/>
        </w:rPr>
        <w:t xml:space="preserve">, e no </w:t>
      </w:r>
      <w:r>
        <w:rPr>
          <w:rFonts w:hint="default" w:ascii="Arial" w:hAnsi="Arial" w:cs="Arial"/>
          <w:sz w:val="22"/>
          <w:szCs w:val="22"/>
        </w:rPr>
        <w:fldChar w:fldCharType="begin"/>
      </w:r>
      <w:r>
        <w:rPr>
          <w:rFonts w:hint="default" w:ascii="Arial" w:hAnsi="Arial" w:cs="Arial"/>
          <w:sz w:val="22"/>
          <w:szCs w:val="22"/>
        </w:rPr>
        <w:instrText xml:space="preserve"> HYPERLINK "http://www.planalto.gov.br/ccivil_03/LEIS/L8666cons.htm#art3%C3%82%C2%A72" \h </w:instrText>
      </w:r>
      <w:r>
        <w:rPr>
          <w:rFonts w:hint="default" w:ascii="Arial" w:hAnsi="Arial" w:cs="Arial"/>
          <w:sz w:val="22"/>
          <w:szCs w:val="22"/>
        </w:rPr>
        <w:fldChar w:fldCharType="separate"/>
      </w:r>
      <w:r>
        <w:rPr>
          <w:rFonts w:hint="default" w:ascii="Arial" w:hAnsi="Arial" w:cs="Arial"/>
          <w:sz w:val="22"/>
          <w:szCs w:val="22"/>
        </w:rPr>
        <w:t>§ 2</w:t>
      </w:r>
      <w:r>
        <w:rPr>
          <w:rFonts w:hint="default" w:ascii="Arial" w:hAnsi="Arial" w:cs="Arial"/>
          <w:position w:val="8"/>
          <w:sz w:val="22"/>
          <w:szCs w:val="22"/>
        </w:rPr>
        <w:t xml:space="preserve">o </w:t>
      </w:r>
      <w:r>
        <w:rPr>
          <w:rFonts w:hint="default" w:ascii="Arial" w:hAnsi="Arial" w:cs="Arial"/>
          <w:sz w:val="22"/>
          <w:szCs w:val="22"/>
        </w:rPr>
        <w:t>do art. 3</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da Lei n</w:t>
      </w:r>
      <w:r>
        <w:rPr>
          <w:rFonts w:hint="default" w:cs="Arial"/>
          <w:sz w:val="22"/>
          <w:szCs w:val="22"/>
          <w:lang w:val="pt-BR"/>
        </w:rPr>
        <w:t>º</w:t>
      </w:r>
      <w:r>
        <w:rPr>
          <w:rFonts w:hint="default" w:ascii="Arial" w:hAnsi="Arial" w:cs="Arial"/>
          <w:position w:val="8"/>
          <w:sz w:val="22"/>
          <w:szCs w:val="22"/>
        </w:rPr>
        <w:t xml:space="preserve"> </w:t>
      </w:r>
      <w:r>
        <w:rPr>
          <w:rFonts w:hint="default" w:ascii="Arial" w:hAnsi="Arial" w:cs="Arial"/>
          <w:sz w:val="22"/>
          <w:szCs w:val="22"/>
        </w:rPr>
        <w:t>8.666, de 21 de junho de</w:t>
      </w:r>
      <w:r>
        <w:rPr>
          <w:rFonts w:hint="default" w:ascii="Arial" w:hAnsi="Arial" w:cs="Arial"/>
          <w:spacing w:val="-45"/>
          <w:sz w:val="22"/>
          <w:szCs w:val="22"/>
        </w:rPr>
        <w:t xml:space="preserve"> </w:t>
      </w:r>
      <w:r>
        <w:rPr>
          <w:rFonts w:hint="default" w:ascii="Arial" w:hAnsi="Arial" w:cs="Arial"/>
          <w:sz w:val="22"/>
          <w:szCs w:val="22"/>
        </w:rPr>
        <w:t>1993</w:t>
      </w:r>
      <w:r>
        <w:rPr>
          <w:rFonts w:hint="default" w:ascii="Arial" w:hAnsi="Arial" w:cs="Arial"/>
          <w:sz w:val="22"/>
          <w:szCs w:val="22"/>
        </w:rPr>
        <w:fldChar w:fldCharType="end"/>
      </w:r>
      <w:r>
        <w:rPr>
          <w:rFonts w:hint="default" w:ascii="Arial" w:hAnsi="Arial" w:cs="Arial"/>
          <w:sz w:val="22"/>
          <w:szCs w:val="22"/>
        </w:rPr>
        <w:t>;</w:t>
      </w:r>
    </w:p>
    <w:p>
      <w:pPr>
        <w:pStyle w:val="19"/>
        <w:numPr>
          <w:ilvl w:val="0"/>
          <w:numId w:val="3"/>
        </w:numPr>
        <w:tabs>
          <w:tab w:val="left" w:pos="132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Sorteio.</w:t>
      </w:r>
    </w:p>
    <w:p>
      <w:pPr>
        <w:pStyle w:val="6"/>
        <w:spacing w:before="5"/>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both"/>
        <w:rPr>
          <w:rFonts w:hint="default" w:ascii="Arial" w:hAnsi="Arial" w:cs="Arial"/>
          <w:sz w:val="22"/>
          <w:szCs w:val="22"/>
          <w:lang w:val="en-US"/>
        </w:rPr>
      </w:pPr>
      <w:r>
        <w:rPr>
          <w:rFonts w:hint="default" w:ascii="Arial" w:hAnsi="Arial" w:cs="Arial"/>
          <w:sz w:val="22"/>
          <w:szCs w:val="22"/>
        </w:rPr>
        <w:t xml:space="preserve">DA VERIFICAÇÃO DE EFETIVIDADE </w:t>
      </w:r>
      <w:r>
        <w:rPr>
          <w:rFonts w:hint="default" w:ascii="Arial" w:hAnsi="Arial" w:cs="Arial"/>
          <w:sz w:val="22"/>
          <w:szCs w:val="22"/>
          <w:lang w:val="pt-BR"/>
        </w:rPr>
        <w:t>DOS LANCES</w:t>
      </w:r>
    </w:p>
    <w:p>
      <w:pPr>
        <w:pStyle w:val="6"/>
        <w:spacing w:before="10"/>
        <w:ind w:left="440" w:leftChars="200" w:right="268" w:rightChars="122" w:firstLine="0" w:firstLineChars="0"/>
        <w:rPr>
          <w:rFonts w:hint="default" w:ascii="Arial" w:hAnsi="Arial" w:cs="Arial"/>
          <w:b/>
          <w:sz w:val="22"/>
          <w:szCs w:val="22"/>
        </w:rPr>
      </w:pPr>
    </w:p>
    <w:p>
      <w:pPr>
        <w:pStyle w:val="19"/>
        <w:numPr>
          <w:ilvl w:val="1"/>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 Comissão Permanente de Licitação verificará a efetividade </w:t>
      </w:r>
      <w:r>
        <w:rPr>
          <w:rFonts w:hint="default" w:ascii="Arial" w:hAnsi="Arial" w:cs="Arial"/>
          <w:spacing w:val="3"/>
          <w:sz w:val="22"/>
          <w:szCs w:val="22"/>
          <w:lang w:val="pt-BR"/>
        </w:rPr>
        <w:t>do melhor lance</w:t>
      </w:r>
      <w:r>
        <w:rPr>
          <w:rFonts w:hint="default" w:ascii="Arial" w:hAnsi="Arial" w:cs="Arial"/>
          <w:sz w:val="22"/>
          <w:szCs w:val="22"/>
        </w:rPr>
        <w:t>, com o apoio de representante da área técnica demandante, desclassificando-o</w:t>
      </w:r>
      <w:r>
        <w:rPr>
          <w:rFonts w:hint="default" w:ascii="Arial" w:hAnsi="Arial" w:cs="Arial"/>
          <w:spacing w:val="-1"/>
          <w:sz w:val="22"/>
          <w:szCs w:val="22"/>
        </w:rPr>
        <w:t xml:space="preserve"> </w:t>
      </w:r>
      <w:r>
        <w:rPr>
          <w:rFonts w:hint="default" w:ascii="Arial" w:hAnsi="Arial" w:cs="Arial"/>
          <w:sz w:val="22"/>
          <w:szCs w:val="22"/>
        </w:rPr>
        <w:t>se:</w:t>
      </w:r>
    </w:p>
    <w:p>
      <w:pPr>
        <w:pStyle w:val="6"/>
        <w:spacing w:before="2"/>
        <w:ind w:left="440" w:leftChars="200" w:right="268" w:rightChars="122" w:firstLine="0" w:firstLineChars="0"/>
        <w:rPr>
          <w:rFonts w:hint="default" w:ascii="Arial" w:hAnsi="Arial" w:cs="Arial"/>
          <w:sz w:val="22"/>
          <w:szCs w:val="22"/>
        </w:rPr>
      </w:pPr>
    </w:p>
    <w:p>
      <w:pPr>
        <w:pStyle w:val="19"/>
        <w:numPr>
          <w:ilvl w:val="0"/>
          <w:numId w:val="4"/>
        </w:numPr>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Contiver vícios</w:t>
      </w:r>
      <w:r>
        <w:rPr>
          <w:rFonts w:hint="default" w:ascii="Arial" w:hAnsi="Arial" w:cs="Arial"/>
          <w:spacing w:val="-1"/>
          <w:sz w:val="22"/>
          <w:szCs w:val="22"/>
        </w:rPr>
        <w:t xml:space="preserve"> </w:t>
      </w:r>
      <w:r>
        <w:rPr>
          <w:rFonts w:hint="default" w:ascii="Arial" w:hAnsi="Arial" w:cs="Arial"/>
          <w:sz w:val="22"/>
          <w:szCs w:val="22"/>
        </w:rPr>
        <w:t>insanáveis;</w:t>
      </w:r>
    </w:p>
    <w:p>
      <w:pPr>
        <w:pStyle w:val="19"/>
        <w:numPr>
          <w:ilvl w:val="0"/>
          <w:numId w:val="4"/>
        </w:numPr>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Descumprir especificações técnicas constantes no presente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9"/>
        <w:numPr>
          <w:ilvl w:val="0"/>
          <w:numId w:val="4"/>
        </w:numPr>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Apresentar preços manifestamente</w:t>
      </w:r>
      <w:r>
        <w:rPr>
          <w:rFonts w:hint="default" w:ascii="Arial" w:hAnsi="Arial" w:cs="Arial"/>
          <w:spacing w:val="-5"/>
          <w:sz w:val="22"/>
          <w:szCs w:val="22"/>
        </w:rPr>
        <w:t xml:space="preserve"> </w:t>
      </w:r>
      <w:r>
        <w:rPr>
          <w:rFonts w:hint="default" w:ascii="Arial" w:hAnsi="Arial" w:cs="Arial"/>
          <w:sz w:val="22"/>
          <w:szCs w:val="22"/>
        </w:rPr>
        <w:t>inexequíveis;</w:t>
      </w:r>
    </w:p>
    <w:p>
      <w:pPr>
        <w:pStyle w:val="19"/>
        <w:numPr>
          <w:ilvl w:val="0"/>
          <w:numId w:val="4"/>
        </w:numPr>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Estiver acima do preço de referência/orçamento estimado para a contratação,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após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negociação</w:t>
      </w:r>
      <w:r>
        <w:rPr>
          <w:rFonts w:hint="default" w:cs="Arial"/>
          <w:color w:val="000000" w:themeColor="text1"/>
          <w:sz w:val="22"/>
          <w:szCs w:val="22"/>
          <w:lang w:val="pt-BR"/>
          <w14:textFill>
            <w14:solidFill>
              <w14:schemeClr w14:val="tx1"/>
            </w14:solidFill>
          </w14:textFill>
        </w:rPr>
        <w:t>;</w:t>
      </w:r>
    </w:p>
    <w:p>
      <w:pPr>
        <w:pStyle w:val="19"/>
        <w:numPr>
          <w:ilvl w:val="0"/>
          <w:numId w:val="4"/>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Não tiver sua exequibilidade demonstrada, quando exigido pela </w:t>
      </w:r>
      <w:r>
        <w:rPr>
          <w:rFonts w:hint="default" w:ascii="Arial" w:hAnsi="Arial" w:cs="Arial"/>
          <w:sz w:val="22"/>
          <w:szCs w:val="22"/>
          <w:lang w:val="pt-BR"/>
        </w:rPr>
        <w:t>CODEN</w:t>
      </w:r>
      <w:r>
        <w:rPr>
          <w:rFonts w:hint="default" w:ascii="Arial" w:hAnsi="Arial" w:cs="Arial"/>
          <w:sz w:val="22"/>
          <w:szCs w:val="22"/>
        </w:rPr>
        <w:t>;</w:t>
      </w:r>
    </w:p>
    <w:p>
      <w:pPr>
        <w:pStyle w:val="19"/>
        <w:numPr>
          <w:ilvl w:val="0"/>
          <w:numId w:val="4"/>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Apresentar desconformidade com outras exigências do instrumento convocatório, salvo se for possível a acomodação a seus termos antes da adjudicação do objeto e sem que se prejudique a atribuição de tratamento isonômico entre os</w:t>
      </w:r>
      <w:r>
        <w:rPr>
          <w:rFonts w:hint="default" w:ascii="Arial" w:hAnsi="Arial" w:cs="Arial"/>
          <w:spacing w:val="-3"/>
          <w:sz w:val="22"/>
          <w:szCs w:val="22"/>
        </w:rPr>
        <w:t xml:space="preserve"> </w:t>
      </w:r>
      <w:r>
        <w:rPr>
          <w:rFonts w:hint="default" w:ascii="Arial" w:hAnsi="Arial" w:cs="Arial"/>
          <w:sz w:val="22"/>
          <w:szCs w:val="22"/>
        </w:rPr>
        <w:t>licitantes.</w:t>
      </w:r>
    </w:p>
    <w:p>
      <w:pPr>
        <w:pStyle w:val="6"/>
        <w:spacing w:before="5"/>
        <w:ind w:left="440" w:leftChars="200" w:right="268" w:rightChars="122" w:firstLine="0" w:firstLineChars="0"/>
        <w:rPr>
          <w:rFonts w:hint="default" w:ascii="Arial" w:hAnsi="Arial" w:cs="Arial"/>
          <w:sz w:val="22"/>
          <w:szCs w:val="22"/>
        </w:rPr>
      </w:pPr>
    </w:p>
    <w:p>
      <w:pPr>
        <w:pStyle w:val="19"/>
        <w:numPr>
          <w:ilvl w:val="1"/>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CPEL poderá realizar diligências para aferir a exequibilidade das propostas ou exigir do licitante que ela seja</w:t>
      </w:r>
      <w:r>
        <w:rPr>
          <w:rFonts w:hint="default" w:ascii="Arial" w:hAnsi="Arial" w:cs="Arial"/>
          <w:spacing w:val="-6"/>
          <w:sz w:val="22"/>
          <w:szCs w:val="22"/>
        </w:rPr>
        <w:t xml:space="preserve"> </w:t>
      </w:r>
      <w:r>
        <w:rPr>
          <w:rFonts w:hint="default" w:ascii="Arial" w:hAnsi="Arial" w:cs="Arial"/>
          <w:sz w:val="22"/>
          <w:szCs w:val="22"/>
        </w:rPr>
        <w:t>demonstrada.</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 CPEL poderá solicitar à área técnica demandante e/ou à Gerência Financeira análise e emissão de manifestação por escrito sobre a(s) planilha(s) de preços apresentada(s) pelo licitante, a </w:t>
      </w:r>
      <w:r>
        <w:rPr>
          <w:rFonts w:hint="default" w:ascii="Arial" w:hAnsi="Arial" w:cs="Arial"/>
          <w:spacing w:val="3"/>
          <w:sz w:val="22"/>
          <w:szCs w:val="22"/>
        </w:rPr>
        <w:t xml:space="preserve">fim </w:t>
      </w:r>
      <w:r>
        <w:rPr>
          <w:rFonts w:hint="default" w:ascii="Arial" w:hAnsi="Arial" w:cs="Arial"/>
          <w:sz w:val="22"/>
          <w:szCs w:val="22"/>
        </w:rPr>
        <w:t>de aferir a exequibilidade da</w:t>
      </w:r>
      <w:r>
        <w:rPr>
          <w:rFonts w:hint="default" w:ascii="Arial" w:hAnsi="Arial" w:cs="Arial"/>
          <w:spacing w:val="-1"/>
          <w:sz w:val="22"/>
          <w:szCs w:val="22"/>
        </w:rPr>
        <w:t xml:space="preserve"> </w:t>
      </w:r>
      <w:r>
        <w:rPr>
          <w:rFonts w:hint="default" w:ascii="Arial" w:hAnsi="Arial" w:cs="Arial"/>
          <w:sz w:val="22"/>
          <w:szCs w:val="22"/>
        </w:rPr>
        <w:t>proposta.</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12"/>
          <w:sz w:val="22"/>
          <w:szCs w:val="22"/>
        </w:rPr>
        <w:t xml:space="preserve"> </w:t>
      </w:r>
      <w:r>
        <w:rPr>
          <w:rFonts w:hint="default" w:ascii="Arial" w:hAnsi="Arial" w:cs="Arial"/>
          <w:sz w:val="22"/>
          <w:szCs w:val="22"/>
        </w:rPr>
        <w:t>consideradas</w:t>
      </w:r>
      <w:r>
        <w:rPr>
          <w:rFonts w:hint="default" w:ascii="Arial" w:hAnsi="Arial" w:cs="Arial"/>
          <w:spacing w:val="-12"/>
          <w:sz w:val="22"/>
          <w:szCs w:val="22"/>
        </w:rPr>
        <w:t xml:space="preserve"> </w:t>
      </w:r>
      <w:r>
        <w:rPr>
          <w:rFonts w:hint="default" w:ascii="Arial" w:hAnsi="Arial" w:cs="Arial"/>
          <w:sz w:val="22"/>
          <w:szCs w:val="22"/>
        </w:rPr>
        <w:t>inexequíveis</w:t>
      </w:r>
      <w:r>
        <w:rPr>
          <w:rFonts w:hint="default" w:ascii="Arial" w:hAnsi="Arial" w:cs="Arial"/>
          <w:spacing w:val="-12"/>
          <w:sz w:val="22"/>
          <w:szCs w:val="22"/>
        </w:rPr>
        <w:t xml:space="preserve"> </w:t>
      </w:r>
      <w:r>
        <w:rPr>
          <w:rFonts w:hint="default" w:ascii="Arial" w:hAnsi="Arial" w:cs="Arial"/>
          <w:sz w:val="22"/>
          <w:szCs w:val="22"/>
        </w:rPr>
        <w:t>as</w:t>
      </w:r>
      <w:r>
        <w:rPr>
          <w:rFonts w:hint="default" w:ascii="Arial" w:hAnsi="Arial" w:cs="Arial"/>
          <w:spacing w:val="-9"/>
          <w:sz w:val="22"/>
          <w:szCs w:val="22"/>
        </w:rPr>
        <w:t xml:space="preserve"> </w:t>
      </w:r>
      <w:r>
        <w:rPr>
          <w:rFonts w:hint="default" w:ascii="Arial" w:hAnsi="Arial" w:cs="Arial"/>
          <w:sz w:val="22"/>
          <w:szCs w:val="22"/>
        </w:rPr>
        <w:t>propostas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venham</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2"/>
          <w:sz w:val="22"/>
          <w:szCs w:val="22"/>
        </w:rPr>
        <w:t xml:space="preserve"> </w:t>
      </w:r>
      <w:r>
        <w:rPr>
          <w:rFonts w:hint="default" w:ascii="Arial" w:hAnsi="Arial" w:cs="Arial"/>
          <w:sz w:val="22"/>
          <w:szCs w:val="22"/>
        </w:rPr>
        <w:t>ter demonstrada pelo ofertante, no prazo estabelecido pela CPEL, sua viabilidade através de documentação que comprove que os custos dos insumos são coerentes com os de mercado e que os coeficientes de produtividade são compatíveis com a execução do objeto do futuro contrato. Para tanto serão aceitos:</w:t>
      </w:r>
    </w:p>
    <w:p>
      <w:pPr>
        <w:pStyle w:val="6"/>
        <w:ind w:left="440" w:leftChars="200" w:right="268" w:rightChars="122" w:firstLine="0" w:firstLineChars="0"/>
        <w:rPr>
          <w:rFonts w:hint="default" w:ascii="Arial" w:hAnsi="Arial" w:cs="Arial"/>
          <w:sz w:val="22"/>
          <w:szCs w:val="22"/>
        </w:rPr>
      </w:pPr>
    </w:p>
    <w:p>
      <w:pPr>
        <w:pStyle w:val="19"/>
        <w:numPr>
          <w:ilvl w:val="0"/>
          <w:numId w:val="5"/>
        </w:numPr>
        <w:tabs>
          <w:tab w:val="left" w:pos="110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Planilha de custos elaborada pelo próprio licitante;</w:t>
      </w:r>
      <w:r>
        <w:rPr>
          <w:rFonts w:hint="default" w:ascii="Arial" w:hAnsi="Arial" w:cs="Arial"/>
          <w:spacing w:val="-7"/>
          <w:sz w:val="22"/>
          <w:szCs w:val="22"/>
        </w:rPr>
        <w:t xml:space="preserve"> </w:t>
      </w:r>
      <w:r>
        <w:rPr>
          <w:rFonts w:hint="default" w:ascii="Arial" w:hAnsi="Arial" w:cs="Arial"/>
          <w:sz w:val="22"/>
          <w:szCs w:val="22"/>
        </w:rPr>
        <w:t>e</w:t>
      </w:r>
    </w:p>
    <w:p>
      <w:pPr>
        <w:pStyle w:val="19"/>
        <w:numPr>
          <w:ilvl w:val="0"/>
          <w:numId w:val="5"/>
        </w:numPr>
        <w:tabs>
          <w:tab w:val="left" w:pos="1100"/>
        </w:tabs>
        <w:spacing w:before="1"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Contratações em andamento com preços</w:t>
      </w:r>
      <w:r>
        <w:rPr>
          <w:rFonts w:hint="default" w:ascii="Arial" w:hAnsi="Arial" w:cs="Arial"/>
          <w:spacing w:val="-8"/>
          <w:sz w:val="22"/>
          <w:szCs w:val="22"/>
        </w:rPr>
        <w:t xml:space="preserve"> </w:t>
      </w:r>
      <w:r>
        <w:rPr>
          <w:rFonts w:hint="default" w:ascii="Arial" w:hAnsi="Arial" w:cs="Arial"/>
          <w:sz w:val="22"/>
          <w:szCs w:val="22"/>
        </w:rPr>
        <w:t>semelhantes.</w:t>
      </w:r>
    </w:p>
    <w:p>
      <w:pPr>
        <w:pStyle w:val="6"/>
        <w:spacing w:before="11"/>
        <w:ind w:left="440" w:leftChars="200" w:right="268" w:rightChars="122" w:firstLine="0" w:firstLineChars="0"/>
        <w:rPr>
          <w:rFonts w:hint="default" w:ascii="Arial" w:hAnsi="Arial" w:cs="Arial"/>
          <w:sz w:val="22"/>
          <w:szCs w:val="22"/>
        </w:rPr>
      </w:pPr>
    </w:p>
    <w:p>
      <w:pPr>
        <w:pStyle w:val="19"/>
        <w:numPr>
          <w:ilvl w:val="1"/>
          <w:numId w:val="1"/>
        </w:numPr>
        <w:tabs>
          <w:tab w:val="left" w:pos="110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Se desclassificado a melhor proposta, a CPEL iniciará a verificação da efetividade </w:t>
      </w:r>
      <w:r>
        <w:rPr>
          <w:rFonts w:hint="default" w:ascii="Arial" w:hAnsi="Arial" w:cs="Arial"/>
          <w:sz w:val="22"/>
          <w:szCs w:val="22"/>
          <w:lang w:val="pt-BR"/>
        </w:rPr>
        <w:t>do lance</w:t>
      </w:r>
      <w:r>
        <w:rPr>
          <w:rFonts w:hint="default" w:ascii="Arial" w:hAnsi="Arial" w:cs="Arial"/>
          <w:sz w:val="22"/>
          <w:szCs w:val="22"/>
        </w:rPr>
        <w:t xml:space="preserve"> do próximo colocado, respeitada a ordem de classificação.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284"/>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Nos casos de divergência entre o valor global apresentado para o lote e a soma/multiplicação dos quantitativos e preços unitários de seus itens, prevalecerá o resultado da soma/multiplicação dos quantitativos e preços unitários dos</w:t>
      </w:r>
      <w:r>
        <w:rPr>
          <w:rFonts w:hint="default" w:ascii="Arial" w:hAnsi="Arial" w:cs="Arial"/>
          <w:spacing w:val="-3"/>
          <w:sz w:val="22"/>
          <w:szCs w:val="22"/>
        </w:rPr>
        <w:t xml:space="preserve"> </w:t>
      </w:r>
      <w:r>
        <w:rPr>
          <w:rFonts w:hint="default" w:ascii="Arial" w:hAnsi="Arial" w:cs="Arial"/>
          <w:sz w:val="22"/>
          <w:szCs w:val="22"/>
        </w:rPr>
        <w:t>itens.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284"/>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 existir discrepância no resultado da multiplicação do preço unitário</w:t>
      </w:r>
      <w:r>
        <w:rPr>
          <w:rFonts w:hint="default" w:ascii="Arial" w:hAnsi="Arial" w:cs="Arial"/>
          <w:spacing w:val="-36"/>
          <w:sz w:val="22"/>
          <w:szCs w:val="22"/>
        </w:rPr>
        <w:t xml:space="preserve"> </w:t>
      </w:r>
      <w:r>
        <w:rPr>
          <w:rFonts w:hint="default" w:ascii="Arial" w:hAnsi="Arial" w:cs="Arial"/>
          <w:sz w:val="22"/>
          <w:szCs w:val="22"/>
        </w:rPr>
        <w:t>pela quantidade, o preço unitário prevalecerá, a menos que, na opinião da CPEL, exista um erro grosseiro e óbvio, caso em que a proposta será considerada desclassificada.</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284"/>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Erros no preenchimento da planilha, considerados sanáveis, não são motivos</w:t>
      </w:r>
      <w:r>
        <w:rPr>
          <w:rFonts w:hint="default" w:ascii="Arial" w:hAnsi="Arial" w:cs="Arial"/>
          <w:spacing w:val="-15"/>
          <w:sz w:val="22"/>
          <w:szCs w:val="22"/>
        </w:rPr>
        <w:t xml:space="preserve"> </w:t>
      </w:r>
      <w:r>
        <w:rPr>
          <w:rFonts w:hint="default" w:ascii="Arial" w:hAnsi="Arial" w:cs="Arial"/>
          <w:sz w:val="22"/>
          <w:szCs w:val="22"/>
        </w:rPr>
        <w:t>suficientes</w:t>
      </w:r>
      <w:r>
        <w:rPr>
          <w:rFonts w:hint="default" w:ascii="Arial" w:hAnsi="Arial" w:cs="Arial"/>
          <w:spacing w:val="-16"/>
          <w:sz w:val="22"/>
          <w:szCs w:val="22"/>
        </w:rPr>
        <w:t xml:space="preserve"> </w:t>
      </w:r>
      <w:r>
        <w:rPr>
          <w:rFonts w:hint="default" w:ascii="Arial" w:hAnsi="Arial" w:cs="Arial"/>
          <w:sz w:val="22"/>
          <w:szCs w:val="22"/>
        </w:rPr>
        <w:t>para</w:t>
      </w:r>
      <w:r>
        <w:rPr>
          <w:rFonts w:hint="default" w:ascii="Arial" w:hAnsi="Arial" w:cs="Arial"/>
          <w:spacing w:val="-15"/>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desclassificação</w:t>
      </w:r>
      <w:r>
        <w:rPr>
          <w:rFonts w:hint="default" w:ascii="Arial" w:hAnsi="Arial" w:cs="Arial"/>
          <w:spacing w:val="-14"/>
          <w:sz w:val="22"/>
          <w:szCs w:val="22"/>
        </w:rPr>
        <w:t xml:space="preserve"> </w:t>
      </w:r>
      <w:r>
        <w:rPr>
          <w:rFonts w:hint="default" w:ascii="Arial" w:hAnsi="Arial" w:cs="Arial"/>
          <w:sz w:val="22"/>
          <w:szCs w:val="22"/>
        </w:rPr>
        <w:t>da</w:t>
      </w:r>
      <w:r>
        <w:rPr>
          <w:rFonts w:hint="default" w:ascii="Arial" w:hAnsi="Arial" w:cs="Arial"/>
          <w:spacing w:val="-16"/>
          <w:sz w:val="22"/>
          <w:szCs w:val="22"/>
        </w:rPr>
        <w:t xml:space="preserve"> </w:t>
      </w:r>
      <w:r>
        <w:rPr>
          <w:rFonts w:hint="default" w:ascii="Arial" w:hAnsi="Arial" w:cs="Arial"/>
          <w:sz w:val="22"/>
          <w:szCs w:val="22"/>
        </w:rPr>
        <w:t>proposta,</w:t>
      </w:r>
      <w:r>
        <w:rPr>
          <w:rFonts w:hint="default" w:ascii="Arial" w:hAnsi="Arial" w:cs="Arial"/>
          <w:spacing w:val="-13"/>
          <w:sz w:val="22"/>
          <w:szCs w:val="22"/>
        </w:rPr>
        <w:t xml:space="preserve"> </w:t>
      </w:r>
      <w:r>
        <w:rPr>
          <w:rFonts w:hint="default" w:ascii="Arial" w:hAnsi="Arial" w:cs="Arial"/>
          <w:sz w:val="22"/>
          <w:szCs w:val="22"/>
        </w:rPr>
        <w:t>quando</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5"/>
          <w:sz w:val="22"/>
          <w:szCs w:val="22"/>
        </w:rPr>
        <w:t xml:space="preserve"> </w:t>
      </w:r>
      <w:r>
        <w:rPr>
          <w:rFonts w:hint="default" w:ascii="Arial" w:hAnsi="Arial" w:cs="Arial"/>
          <w:sz w:val="22"/>
          <w:szCs w:val="22"/>
        </w:rPr>
        <w:t>planilha</w:t>
      </w:r>
      <w:r>
        <w:rPr>
          <w:rFonts w:hint="default" w:ascii="Arial" w:hAnsi="Arial" w:cs="Arial"/>
          <w:spacing w:val="-16"/>
          <w:sz w:val="22"/>
          <w:szCs w:val="22"/>
        </w:rPr>
        <w:t xml:space="preserve"> </w:t>
      </w:r>
      <w:r>
        <w:rPr>
          <w:rFonts w:hint="default" w:ascii="Arial" w:hAnsi="Arial" w:cs="Arial"/>
          <w:sz w:val="22"/>
          <w:szCs w:val="22"/>
        </w:rPr>
        <w:t>puder ser ajustada sem a necessidade de majoração do preço ofertado e desde que não haja remanejamento de valores entre os itens da</w:t>
      </w:r>
      <w:r>
        <w:rPr>
          <w:rFonts w:hint="default" w:ascii="Arial" w:hAnsi="Arial" w:cs="Arial"/>
          <w:spacing w:val="-10"/>
          <w:sz w:val="22"/>
          <w:szCs w:val="22"/>
        </w:rPr>
        <w:t xml:space="preserve"> </w:t>
      </w:r>
      <w:r>
        <w:rPr>
          <w:rFonts w:hint="default" w:ascii="Arial" w:hAnsi="Arial" w:cs="Arial"/>
          <w:sz w:val="22"/>
          <w:szCs w:val="22"/>
        </w:rPr>
        <w:t>planilha.</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NEGOCIAÇÃO</w:t>
      </w:r>
    </w:p>
    <w:p>
      <w:pPr>
        <w:pStyle w:val="6"/>
        <w:spacing w:before="11"/>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Verificada a efetividade d</w:t>
      </w:r>
      <w:r>
        <w:rPr>
          <w:rFonts w:hint="default" w:ascii="Arial" w:hAnsi="Arial" w:cs="Arial"/>
          <w:sz w:val="22"/>
          <w:szCs w:val="22"/>
          <w:lang w:val="pt-BR"/>
        </w:rPr>
        <w:t>o</w:t>
      </w:r>
      <w:r>
        <w:rPr>
          <w:rFonts w:hint="default" w:ascii="Arial" w:hAnsi="Arial" w:cs="Arial"/>
          <w:sz w:val="22"/>
          <w:szCs w:val="22"/>
        </w:rPr>
        <w:t xml:space="preserve"> melhor </w:t>
      </w:r>
      <w:r>
        <w:rPr>
          <w:rFonts w:hint="default" w:ascii="Arial" w:hAnsi="Arial" w:cs="Arial"/>
          <w:sz w:val="22"/>
          <w:szCs w:val="22"/>
          <w:lang w:val="pt-BR"/>
        </w:rPr>
        <w:t>lance</w:t>
      </w:r>
      <w:r>
        <w:rPr>
          <w:rFonts w:hint="default" w:ascii="Arial" w:hAnsi="Arial" w:cs="Arial"/>
          <w:sz w:val="22"/>
          <w:szCs w:val="22"/>
        </w:rPr>
        <w:t>, será iniciada a fase de negociação com o licitante que o apresentou, objetivando condições mais vantajosas à</w:t>
      </w:r>
      <w:r>
        <w:rPr>
          <w:rFonts w:hint="default" w:ascii="Arial" w:hAnsi="Arial" w:cs="Arial"/>
          <w:spacing w:val="-2"/>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 negociação será conduzida pela CPEL e abordará, na busca de condições mais vantajosas para a </w:t>
      </w:r>
      <w:r>
        <w:rPr>
          <w:rFonts w:hint="default" w:ascii="Arial" w:hAnsi="Arial" w:cs="Arial"/>
          <w:sz w:val="22"/>
          <w:szCs w:val="22"/>
          <w:lang w:val="pt-BR"/>
        </w:rPr>
        <w:t>CODEN</w:t>
      </w:r>
      <w:r>
        <w:rPr>
          <w:rFonts w:hint="default" w:ascii="Arial" w:hAnsi="Arial" w:cs="Arial"/>
          <w:sz w:val="22"/>
          <w:szCs w:val="22"/>
        </w:rPr>
        <w:t>, a possibilidade</w:t>
      </w:r>
      <w:r>
        <w:rPr>
          <w:rFonts w:hint="default" w:ascii="Arial" w:hAnsi="Arial" w:cs="Arial"/>
          <w:spacing w:val="-7"/>
          <w:sz w:val="22"/>
          <w:szCs w:val="22"/>
        </w:rPr>
        <w:t xml:space="preserve"> </w:t>
      </w:r>
      <w:r>
        <w:rPr>
          <w:rFonts w:hint="default" w:ascii="Arial" w:hAnsi="Arial" w:cs="Arial"/>
          <w:sz w:val="22"/>
          <w:szCs w:val="22"/>
        </w:rPr>
        <w:t>de:</w:t>
      </w:r>
    </w:p>
    <w:p>
      <w:pPr>
        <w:pStyle w:val="6"/>
        <w:ind w:left="440" w:leftChars="200" w:right="268" w:rightChars="122" w:firstLine="0" w:firstLineChars="0"/>
        <w:rPr>
          <w:rFonts w:hint="default" w:ascii="Arial" w:hAnsi="Arial" w:cs="Arial"/>
          <w:sz w:val="22"/>
          <w:szCs w:val="22"/>
        </w:rPr>
      </w:pPr>
    </w:p>
    <w:p>
      <w:pPr>
        <w:pStyle w:val="19"/>
        <w:numPr>
          <w:ilvl w:val="0"/>
          <w:numId w:val="6"/>
        </w:numPr>
        <w:tabs>
          <w:tab w:val="left" w:pos="1441"/>
          <w:tab w:val="left" w:pos="1442"/>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Redução dos preços global ou unitário</w:t>
      </w:r>
      <w:r>
        <w:rPr>
          <w:rFonts w:hint="default" w:ascii="Arial" w:hAnsi="Arial" w:cs="Arial"/>
          <w:spacing w:val="-7"/>
          <w:sz w:val="22"/>
          <w:szCs w:val="22"/>
        </w:rPr>
        <w:t xml:space="preserve"> </w:t>
      </w:r>
      <w:r>
        <w:rPr>
          <w:rFonts w:hint="default" w:ascii="Arial" w:hAnsi="Arial" w:cs="Arial"/>
          <w:sz w:val="22"/>
          <w:szCs w:val="22"/>
        </w:rPr>
        <w:t>ofertados.</w:t>
      </w:r>
    </w:p>
    <w:p>
      <w:pPr>
        <w:pStyle w:val="19"/>
        <w:numPr>
          <w:ilvl w:val="0"/>
          <w:numId w:val="6"/>
        </w:numPr>
        <w:tabs>
          <w:tab w:val="left" w:pos="1442"/>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Diminuição do prazo de execução do contrato, conforme o</w:t>
      </w:r>
      <w:r>
        <w:rPr>
          <w:rFonts w:hint="default" w:ascii="Arial" w:hAnsi="Arial" w:cs="Arial"/>
          <w:spacing w:val="-13"/>
          <w:sz w:val="22"/>
          <w:szCs w:val="22"/>
        </w:rPr>
        <w:t xml:space="preserve"> </w:t>
      </w:r>
      <w:r>
        <w:rPr>
          <w:rFonts w:hint="default" w:ascii="Arial" w:hAnsi="Arial" w:cs="Arial"/>
          <w:sz w:val="22"/>
          <w:szCs w:val="22"/>
        </w:rPr>
        <w:t>caso.</w:t>
      </w:r>
    </w:p>
    <w:p>
      <w:pPr>
        <w:pStyle w:val="19"/>
        <w:numPr>
          <w:ilvl w:val="0"/>
          <w:numId w:val="6"/>
        </w:numPr>
        <w:tabs>
          <w:tab w:val="left" w:pos="1442"/>
          <w:tab w:val="left" w:pos="2750"/>
          <w:tab w:val="left" w:pos="3829"/>
          <w:tab w:val="left" w:pos="4311"/>
          <w:tab w:val="left" w:pos="5179"/>
          <w:tab w:val="left" w:pos="6205"/>
          <w:tab w:val="left" w:pos="7073"/>
          <w:tab w:val="left" w:pos="7687"/>
          <w:tab w:val="left" w:pos="8967"/>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Qualidade</w:t>
      </w:r>
      <w:r>
        <w:rPr>
          <w:rFonts w:hint="default" w:ascii="Arial" w:hAnsi="Arial" w:cs="Arial"/>
          <w:sz w:val="22"/>
          <w:szCs w:val="22"/>
        </w:rPr>
        <w:tab/>
      </w:r>
      <w:r>
        <w:rPr>
          <w:rFonts w:hint="default" w:ascii="Arial" w:hAnsi="Arial" w:cs="Arial"/>
          <w:sz w:val="22"/>
          <w:szCs w:val="22"/>
        </w:rPr>
        <w:t>superior</w:t>
      </w:r>
      <w:r>
        <w:rPr>
          <w:rFonts w:hint="default" w:ascii="Arial" w:hAnsi="Arial" w:cs="Arial"/>
          <w:sz w:val="22"/>
          <w:szCs w:val="22"/>
        </w:rPr>
        <w:tab/>
      </w:r>
      <w:r>
        <w:rPr>
          <w:rFonts w:hint="default" w:ascii="Arial" w:hAnsi="Arial" w:cs="Arial"/>
          <w:sz w:val="22"/>
          <w:szCs w:val="22"/>
        </w:rPr>
        <w:t>do</w:t>
      </w:r>
      <w:r>
        <w:rPr>
          <w:rFonts w:hint="default" w:ascii="Arial" w:hAnsi="Arial" w:cs="Arial"/>
          <w:sz w:val="22"/>
          <w:szCs w:val="22"/>
        </w:rPr>
        <w:tab/>
      </w:r>
      <w:r>
        <w:rPr>
          <w:rFonts w:hint="default" w:ascii="Arial" w:hAnsi="Arial" w:cs="Arial"/>
          <w:sz w:val="22"/>
          <w:szCs w:val="22"/>
        </w:rPr>
        <w:t>objeto</w:t>
      </w:r>
      <w:r>
        <w:rPr>
          <w:rFonts w:hint="default" w:ascii="Arial" w:hAnsi="Arial" w:cs="Arial"/>
          <w:sz w:val="22"/>
          <w:szCs w:val="22"/>
        </w:rPr>
        <w:tab/>
      </w:r>
      <w:r>
        <w:rPr>
          <w:rFonts w:hint="default" w:ascii="Arial" w:hAnsi="Arial" w:cs="Arial"/>
          <w:sz w:val="22"/>
          <w:szCs w:val="22"/>
        </w:rPr>
        <w:t>licitado,</w:t>
      </w:r>
      <w:r>
        <w:rPr>
          <w:rFonts w:hint="default" w:ascii="Arial" w:hAnsi="Arial" w:cs="Arial"/>
          <w:sz w:val="22"/>
          <w:szCs w:val="22"/>
        </w:rPr>
        <w:tab/>
      </w:r>
      <w:r>
        <w:rPr>
          <w:rFonts w:hint="default" w:ascii="Arial" w:hAnsi="Arial" w:cs="Arial"/>
          <w:sz w:val="22"/>
          <w:szCs w:val="22"/>
        </w:rPr>
        <w:t>desde</w:t>
      </w:r>
      <w:r>
        <w:rPr>
          <w:rFonts w:hint="default" w:ascii="Arial" w:hAnsi="Arial" w:cs="Arial"/>
          <w:sz w:val="22"/>
          <w:szCs w:val="22"/>
        </w:rPr>
        <w:tab/>
      </w:r>
      <w:r>
        <w:rPr>
          <w:rFonts w:hint="default" w:ascii="Arial" w:hAnsi="Arial" w:cs="Arial"/>
          <w:sz w:val="22"/>
          <w:szCs w:val="22"/>
        </w:rPr>
        <w:t>que</w:t>
      </w:r>
      <w:r>
        <w:rPr>
          <w:rFonts w:hint="default" w:ascii="Arial" w:hAnsi="Arial" w:cs="Arial"/>
          <w:sz w:val="22"/>
          <w:szCs w:val="22"/>
        </w:rPr>
        <w:tab/>
      </w:r>
      <w:r>
        <w:rPr>
          <w:rFonts w:hint="default" w:ascii="Arial" w:hAnsi="Arial" w:cs="Arial"/>
          <w:sz w:val="22"/>
          <w:szCs w:val="22"/>
        </w:rPr>
        <w:t>mantenha</w:t>
      </w:r>
      <w:r>
        <w:rPr>
          <w:rFonts w:hint="default" w:ascii="Arial" w:hAnsi="Arial" w:cs="Arial"/>
          <w:sz w:val="22"/>
          <w:szCs w:val="22"/>
        </w:rPr>
        <w:tab/>
      </w:r>
      <w:r>
        <w:rPr>
          <w:rFonts w:hint="default" w:ascii="Arial" w:hAnsi="Arial" w:cs="Arial"/>
          <w:spacing w:val="-13"/>
          <w:sz w:val="22"/>
          <w:szCs w:val="22"/>
        </w:rPr>
        <w:t xml:space="preserve">as </w:t>
      </w:r>
      <w:r>
        <w:rPr>
          <w:rFonts w:hint="default" w:ascii="Arial" w:hAnsi="Arial" w:cs="Arial"/>
          <w:sz w:val="22"/>
          <w:szCs w:val="22"/>
        </w:rPr>
        <w:t>características definidas no neste Edital e seus</w:t>
      </w:r>
      <w:r>
        <w:rPr>
          <w:rFonts w:hint="default" w:ascii="Arial" w:hAnsi="Arial" w:cs="Arial"/>
          <w:spacing w:val="-1"/>
          <w:sz w:val="22"/>
          <w:szCs w:val="22"/>
        </w:rPr>
        <w:t xml:space="preserve"> </w:t>
      </w:r>
      <w:r>
        <w:rPr>
          <w:rFonts w:hint="default" w:ascii="Arial" w:hAnsi="Arial" w:cs="Arial"/>
          <w:sz w:val="22"/>
          <w:szCs w:val="22"/>
        </w:rPr>
        <w:t>Anexos.</w:t>
      </w:r>
    </w:p>
    <w:p>
      <w:pPr>
        <w:pStyle w:val="19"/>
        <w:numPr>
          <w:ilvl w:val="0"/>
          <w:numId w:val="6"/>
        </w:numPr>
        <w:tabs>
          <w:tab w:val="left" w:pos="1442"/>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Melhorias nas condições da garantia oferecida, se</w:t>
      </w:r>
      <w:r>
        <w:rPr>
          <w:rFonts w:hint="default" w:ascii="Arial" w:hAnsi="Arial" w:cs="Arial"/>
          <w:spacing w:val="-12"/>
          <w:sz w:val="22"/>
          <w:szCs w:val="22"/>
        </w:rPr>
        <w:t xml:space="preserve"> </w:t>
      </w:r>
      <w:r>
        <w:rPr>
          <w:rFonts w:hint="default" w:ascii="Arial" w:hAnsi="Arial" w:cs="Arial"/>
          <w:sz w:val="22"/>
          <w:szCs w:val="22"/>
        </w:rPr>
        <w:t>exigida.</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 critério da CPEL, a sessão pública poderá ser suspensa pelo prazo de até 2 (dois) dias úteis para que o licitante apresente resposta final sobre os termos propostos pela </w:t>
      </w:r>
      <w:r>
        <w:rPr>
          <w:rFonts w:hint="default" w:ascii="Arial" w:hAnsi="Arial" w:cs="Arial"/>
          <w:sz w:val="22"/>
          <w:szCs w:val="22"/>
          <w:lang w:val="pt-BR"/>
        </w:rPr>
        <w:t>CODEN</w:t>
      </w:r>
      <w:r>
        <w:rPr>
          <w:rFonts w:hint="default" w:ascii="Arial" w:hAnsi="Arial" w:cs="Arial"/>
          <w:sz w:val="22"/>
          <w:szCs w:val="22"/>
        </w:rPr>
        <w:t xml:space="preserve"> na</w:t>
      </w:r>
      <w:r>
        <w:rPr>
          <w:rFonts w:hint="default" w:ascii="Arial" w:hAnsi="Arial" w:cs="Arial"/>
          <w:spacing w:val="-11"/>
          <w:sz w:val="22"/>
          <w:szCs w:val="22"/>
        </w:rPr>
        <w:t xml:space="preserve"> </w:t>
      </w:r>
      <w:r>
        <w:rPr>
          <w:rFonts w:hint="default" w:ascii="Arial" w:hAnsi="Arial" w:cs="Arial"/>
          <w:sz w:val="22"/>
          <w:szCs w:val="22"/>
        </w:rPr>
        <w:t>negociação.</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Se, ultrapassada a fase de negociação e o licitante detentor da melhor proposta permanecer com valor acima do orçamento estimado, as fases de verificação de efetividade </w:t>
      </w:r>
      <w:r>
        <w:rPr>
          <w:rFonts w:hint="default" w:ascii="Arial" w:hAnsi="Arial" w:cs="Arial"/>
          <w:sz w:val="22"/>
          <w:szCs w:val="22"/>
          <w:lang w:val="pt-BR"/>
        </w:rPr>
        <w:t>de lances</w:t>
      </w:r>
      <w:r>
        <w:rPr>
          <w:rFonts w:hint="default" w:ascii="Arial" w:hAnsi="Arial" w:cs="Arial"/>
          <w:sz w:val="22"/>
          <w:szCs w:val="22"/>
        </w:rPr>
        <w:t xml:space="preserve"> e de negociação serão reestabelecidas com o próximo licitante, respeitada a ordem de</w:t>
      </w:r>
      <w:r>
        <w:rPr>
          <w:rFonts w:hint="default" w:ascii="Arial" w:hAnsi="Arial" w:cs="Arial"/>
          <w:spacing w:val="-6"/>
          <w:sz w:val="22"/>
          <w:szCs w:val="22"/>
        </w:rPr>
        <w:t xml:space="preserve"> </w:t>
      </w:r>
      <w:r>
        <w:rPr>
          <w:rFonts w:hint="default" w:ascii="Arial" w:hAnsi="Arial" w:cs="Arial"/>
          <w:sz w:val="22"/>
          <w:szCs w:val="22"/>
        </w:rPr>
        <w:t>classificação.</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6"/>
        <w:spacing w:before="10"/>
        <w:ind w:left="440" w:leftChars="200" w:right="268" w:rightChars="122" w:firstLine="0" w:firstLineChars="0"/>
        <w:rPr>
          <w:rFonts w:hint="default" w:ascii="Arial" w:hAnsi="Arial" w:cs="Arial"/>
          <w:b/>
          <w:sz w:val="22"/>
          <w:szCs w:val="22"/>
        </w:rPr>
      </w:pPr>
    </w:p>
    <w:p>
      <w:pPr>
        <w:pStyle w:val="19"/>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Ultrapassadas as fases anteriores, a Comissão Permanente de</w:t>
      </w:r>
      <w:r>
        <w:rPr>
          <w:rFonts w:hint="default" w:ascii="Arial" w:hAnsi="Arial" w:cs="Arial"/>
          <w:spacing w:val="27"/>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 xml:space="preserve">– CPEL,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6"/>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left="440" w:leftChars="200" w:right="268" w:rightChars="122" w:firstLine="0" w:firstLineChars="0"/>
        <w:textAlignment w:val="auto"/>
        <w:outlineLvl w:val="9"/>
        <w:rPr>
          <w:rFonts w:hint="default" w:ascii="Arial" w:hAnsi="Arial" w:cs="Arial"/>
          <w:sz w:val="22"/>
          <w:szCs w:val="22"/>
        </w:rPr>
      </w:pPr>
    </w:p>
    <w:p>
      <w:pPr>
        <w:pStyle w:val="19"/>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6"/>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40" w:leftChars="200" w:right="268" w:rightChars="122" w:firstLine="0" w:firstLineChars="0"/>
        <w:textAlignment w:val="auto"/>
        <w:outlineLvl w:val="9"/>
        <w:rPr>
          <w:rFonts w:hint="default" w:ascii="Arial" w:hAnsi="Arial" w:cs="Arial"/>
          <w:sz w:val="22"/>
          <w:szCs w:val="22"/>
        </w:rPr>
      </w:pPr>
    </w:p>
    <w:p>
      <w:pPr>
        <w:pStyle w:val="19"/>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440" w:leftChars="200" w:right="268" w:rightChars="122" w:firstLine="0" w:firstLineChars="0"/>
        <w:jc w:val="both"/>
        <w:textAlignment w:val="auto"/>
        <w:outlineLvl w:val="9"/>
        <w:rPr>
          <w:rFonts w:hint="default" w:ascii="Arial" w:hAnsi="Arial" w:cs="Arial"/>
          <w:b/>
          <w:bCs/>
          <w:sz w:val="22"/>
          <w:szCs w:val="22"/>
        </w:rPr>
      </w:pPr>
      <w:r>
        <w:rPr>
          <w:rFonts w:hint="default" w:ascii="Arial" w:hAnsi="Arial" w:cs="Arial"/>
          <w:sz w:val="22"/>
          <w:szCs w:val="22"/>
        </w:rPr>
        <w:t xml:space="preserve">Quanto à </w:t>
      </w:r>
      <w:r>
        <w:rPr>
          <w:rFonts w:hint="default" w:ascii="Arial" w:hAnsi="Arial" w:cs="Arial"/>
          <w:b/>
          <w:bCs/>
          <w:sz w:val="22"/>
          <w:szCs w:val="22"/>
        </w:rPr>
        <w:t>HABILITAÇÃO JURÍDICA:</w:t>
      </w:r>
    </w:p>
    <w:p>
      <w:pPr>
        <w:pStyle w:val="6"/>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left="440" w:leftChars="200" w:right="268" w:rightChars="122" w:firstLine="0" w:firstLineChars="0"/>
        <w:textAlignment w:val="auto"/>
        <w:outlineLvl w:val="9"/>
        <w:rPr>
          <w:rFonts w:hint="default" w:ascii="Arial" w:hAnsi="Arial" w:cs="Arial"/>
          <w:b/>
          <w:sz w:val="22"/>
          <w:szCs w:val="22"/>
        </w:rPr>
      </w:pPr>
    </w:p>
    <w:p>
      <w:pPr>
        <w:pStyle w:val="19"/>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9"/>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40" w:leftChars="200" w:right="268" w:rightChars="122" w:firstLine="0" w:firstLineChars="0"/>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9"/>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92"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9"/>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6"/>
        <w:keepNext w:val="0"/>
        <w:keepLines w:val="0"/>
        <w:pageBreakBefore w:val="0"/>
        <w:widowControl w:val="0"/>
        <w:tabs>
          <w:tab w:val="left" w:pos="1430"/>
          <w:tab w:val="left" w:pos="9900"/>
        </w:tabs>
        <w:kinsoku/>
        <w:wordWrap/>
        <w:overflowPunct/>
        <w:topLinePunct w:val="0"/>
        <w:autoSpaceDE w:val="0"/>
        <w:autoSpaceDN w:val="0"/>
        <w:bidi w:val="0"/>
        <w:adjustRightInd/>
        <w:snapToGrid/>
        <w:ind w:left="440" w:leftChars="200" w:right="268" w:rightChars="122" w:firstLine="0" w:firstLineChars="0"/>
        <w:textAlignment w:val="auto"/>
        <w:outlineLvl w:val="9"/>
        <w:rPr>
          <w:rFonts w:hint="default" w:ascii="Arial" w:hAnsi="Arial" w:cs="Arial"/>
          <w:sz w:val="22"/>
          <w:szCs w:val="22"/>
        </w:rPr>
      </w:pPr>
    </w:p>
    <w:p>
      <w:pPr>
        <w:pStyle w:val="19"/>
        <w:keepNext w:val="0"/>
        <w:keepLines w:val="0"/>
        <w:pageBreakBefore w:val="0"/>
        <w:widowControl w:val="0"/>
        <w:numPr>
          <w:ilvl w:val="0"/>
          <w:numId w:val="7"/>
        </w:numPr>
        <w:tabs>
          <w:tab w:val="left" w:pos="1430"/>
          <w:tab w:val="left" w:pos="9900"/>
        </w:tabs>
        <w:kinsoku/>
        <w:wordWrap/>
        <w:overflowPunct/>
        <w:topLinePunct w:val="0"/>
        <w:autoSpaceDE w:val="0"/>
        <w:autoSpaceDN w:val="0"/>
        <w:bidi w:val="0"/>
        <w:adjustRightInd/>
        <w:snapToGrid/>
        <w:spacing w:before="0" w:after="0" w:line="240" w:lineRule="auto"/>
        <w:ind w:left="440" w:leftChars="200" w:right="268" w:rightChars="122" w:firstLine="0" w:firstLineChars="0"/>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9"/>
        <w:keepNext w:val="0"/>
        <w:keepLines w:val="0"/>
        <w:pageBreakBefore w:val="0"/>
        <w:widowControl w:val="0"/>
        <w:numPr>
          <w:ilvl w:val="1"/>
          <w:numId w:val="7"/>
        </w:numPr>
        <w:tabs>
          <w:tab w:val="left" w:pos="1430"/>
          <w:tab w:val="left" w:pos="9900"/>
        </w:tabs>
        <w:kinsoku/>
        <w:wordWrap/>
        <w:overflowPunct/>
        <w:topLinePunct w:val="0"/>
        <w:autoSpaceDE w:val="0"/>
        <w:autoSpaceDN w:val="0"/>
        <w:bidi w:val="0"/>
        <w:adjustRightInd/>
        <w:snapToGrid/>
        <w:spacing w:before="0"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9"/>
        <w:keepNext w:val="0"/>
        <w:keepLines w:val="0"/>
        <w:pageBreakBefore w:val="0"/>
        <w:widowControl w:val="0"/>
        <w:numPr>
          <w:ilvl w:val="1"/>
          <w:numId w:val="7"/>
        </w:numPr>
        <w:kinsoku/>
        <w:wordWrap/>
        <w:overflowPunct/>
        <w:topLinePunct w:val="0"/>
        <w:autoSpaceDE w:val="0"/>
        <w:autoSpaceDN w:val="0"/>
        <w:bidi w:val="0"/>
        <w:adjustRightInd/>
        <w:snapToGrid/>
        <w:spacing w:before="0" w:after="0" w:line="240" w:lineRule="auto"/>
        <w:ind w:left="440" w:leftChars="200" w:right="268" w:rightChars="122" w:firstLine="0" w:firstLineChars="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9"/>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440" w:leftChars="200" w:right="268" w:rightChars="122" w:firstLine="0" w:firstLineChars="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 xml:space="preserve">Inscrição do ato constitutivo, no caso de sociedades civis, acompanhada de ato </w:t>
      </w:r>
      <w:r>
        <w:rPr>
          <w:rFonts w:hint="default" w:ascii="Arial" w:hAnsi="Arial" w:cs="Arial"/>
          <w:color w:val="000000" w:themeColor="text1"/>
          <w:sz w:val="22"/>
          <w:szCs w:val="22"/>
          <w14:textFill>
            <w14:solidFill>
              <w14:schemeClr w14:val="tx1"/>
            </w14:solidFill>
          </w14:textFill>
        </w:rPr>
        <w:t>formal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9"/>
        <w:keepNext w:val="0"/>
        <w:keepLines w:val="0"/>
        <w:pageBreakBefore w:val="0"/>
        <w:widowControl w:val="0"/>
        <w:numPr>
          <w:ilvl w:val="1"/>
          <w:numId w:val="7"/>
        </w:numPr>
        <w:kinsoku/>
        <w:wordWrap/>
        <w:overflowPunct/>
        <w:topLinePunct w:val="0"/>
        <w:autoSpaceDE w:val="0"/>
        <w:autoSpaceDN w:val="0"/>
        <w:bidi w:val="0"/>
        <w:adjustRightInd/>
        <w:snapToGrid/>
        <w:spacing w:before="1" w:after="0" w:line="240" w:lineRule="auto"/>
        <w:ind w:left="440" w:leftChars="200" w:right="268" w:rightChars="122" w:firstLine="0" w:firstLineChars="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ind w:left="440" w:leftChars="200" w:right="268" w:rightChars="122" w:firstLine="0" w:firstLineChars="0"/>
        <w:textAlignment w:val="auto"/>
        <w:outlineLvl w:val="9"/>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6"/>
        <w:ind w:left="440" w:leftChars="200" w:right="268" w:rightChars="122" w:firstLine="0" w:firstLineChars="0"/>
        <w:rPr>
          <w:rFonts w:hint="default" w:ascii="Arial" w:hAnsi="Arial" w:cs="Arial"/>
          <w:b/>
          <w:sz w:val="22"/>
          <w:szCs w:val="22"/>
        </w:rPr>
      </w:pPr>
    </w:p>
    <w:p>
      <w:pPr>
        <w:pStyle w:val="19"/>
        <w:numPr>
          <w:ilvl w:val="0"/>
          <w:numId w:val="8"/>
        </w:numPr>
        <w:tabs>
          <w:tab w:val="left" w:pos="110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9"/>
        <w:numPr>
          <w:ilvl w:val="0"/>
          <w:numId w:val="8"/>
        </w:numPr>
        <w:tabs>
          <w:tab w:val="left" w:pos="115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9"/>
        <w:numPr>
          <w:ilvl w:val="0"/>
          <w:numId w:val="8"/>
        </w:numPr>
        <w:tabs>
          <w:tab w:val="left" w:pos="115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9"/>
        <w:numPr>
          <w:ilvl w:val="0"/>
          <w:numId w:val="8"/>
        </w:numPr>
        <w:tabs>
          <w:tab w:val="left" w:pos="1150"/>
        </w:tabs>
        <w:spacing w:before="0" w:after="0" w:line="240" w:lineRule="auto"/>
        <w:ind w:left="440" w:leftChars="200" w:right="268" w:rightChars="122" w:firstLine="0" w:firstLineChars="0"/>
        <w:jc w:val="both"/>
        <w:rPr>
          <w:rFonts w:hint="default" w:ascii="Arial" w:hAnsi="Arial" w:cs="Arial"/>
          <w:sz w:val="22"/>
          <w:szCs w:val="22"/>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rFonts w:hint="default" w:ascii="Arial" w:hAnsi="Arial" w:cs="Arial"/>
          <w:sz w:val="22"/>
          <w:szCs w:val="22"/>
          <w:lang w:val="pt-BR"/>
        </w:rPr>
        <w:t>;</w:t>
      </w:r>
    </w:p>
    <w:p>
      <w:pPr>
        <w:pStyle w:val="19"/>
        <w:numPr>
          <w:ilvl w:val="0"/>
          <w:numId w:val="8"/>
        </w:numPr>
        <w:tabs>
          <w:tab w:val="left" w:pos="115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6"/>
        <w:ind w:left="440" w:leftChars="200" w:right="268" w:rightChars="122" w:firstLine="0" w:firstLineChars="0"/>
        <w:rPr>
          <w:rFonts w:hint="default" w:ascii="Arial" w:hAnsi="Arial" w:cs="Arial"/>
          <w:sz w:val="22"/>
          <w:szCs w:val="22"/>
        </w:rPr>
      </w:pPr>
    </w:p>
    <w:p>
      <w:pPr>
        <w:pStyle w:val="19"/>
        <w:numPr>
          <w:ilvl w:val="0"/>
          <w:numId w:val="0"/>
        </w:numPr>
        <w:tabs>
          <w:tab w:val="left" w:pos="213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15.4.1.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6"/>
        <w:ind w:left="440" w:leftChars="200" w:right="268" w:rightChars="122" w:firstLine="0" w:firstLineChars="0"/>
        <w:rPr>
          <w:rFonts w:hint="default" w:ascii="Arial" w:hAnsi="Arial" w:cs="Arial"/>
          <w:sz w:val="22"/>
          <w:szCs w:val="22"/>
        </w:rPr>
      </w:pPr>
    </w:p>
    <w:p>
      <w:pPr>
        <w:pStyle w:val="19"/>
        <w:numPr>
          <w:ilvl w:val="0"/>
          <w:numId w:val="0"/>
        </w:numPr>
        <w:tabs>
          <w:tab w:val="left" w:pos="2138"/>
        </w:tabs>
        <w:spacing w:before="1" w:after="0" w:line="240" w:lineRule="auto"/>
        <w:ind w:left="440" w:leftChars="200" w:right="268" w:rightChars="122" w:firstLine="0" w:firstLineChars="0"/>
        <w:jc w:val="both"/>
        <w:rPr>
          <w:rFonts w:hint="default" w:ascii="Arial" w:hAnsi="Arial" w:cs="Arial"/>
          <w:color w:val="FF0000"/>
          <w:sz w:val="22"/>
          <w:szCs w:val="22"/>
        </w:rPr>
      </w:pPr>
      <w:r>
        <w:rPr>
          <w:rFonts w:hint="default" w:ascii="Arial" w:hAnsi="Arial" w:cs="Arial"/>
          <w:sz w:val="22"/>
          <w:szCs w:val="22"/>
          <w:lang w:val="pt-BR"/>
        </w:rPr>
        <w:t xml:space="preserve">15.4.2.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6"/>
        <w:spacing w:before="10"/>
        <w:ind w:left="440" w:leftChars="200" w:right="268" w:rightChars="122" w:firstLine="0" w:firstLineChars="0"/>
        <w:rPr>
          <w:rFonts w:hint="default" w:ascii="Arial" w:hAnsi="Arial" w:cs="Arial"/>
          <w:sz w:val="22"/>
          <w:szCs w:val="22"/>
        </w:rPr>
      </w:pPr>
    </w:p>
    <w:p>
      <w:pPr>
        <w:pStyle w:val="19"/>
        <w:numPr>
          <w:ilvl w:val="0"/>
          <w:numId w:val="0"/>
        </w:numPr>
        <w:tabs>
          <w:tab w:val="left" w:pos="2138"/>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15.4.3.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b w:val="0"/>
          <w:bCs w:val="0"/>
          <w:color w:val="000000" w:themeColor="text1"/>
          <w:sz w:val="22"/>
          <w:szCs w:val="22"/>
          <w14:textFill>
            <w14:solidFill>
              <w14:schemeClr w14:val="tx1"/>
            </w14:solidFill>
          </w14:textFill>
        </w:rPr>
      </w:pPr>
      <w:r>
        <w:rPr>
          <w:rFonts w:hint="default" w:ascii="Arial" w:hAnsi="Arial" w:cs="Arial"/>
          <w:b w:val="0"/>
          <w:bCs w:val="0"/>
          <w:color w:val="000000" w:themeColor="text1"/>
          <w:sz w:val="22"/>
          <w:szCs w:val="22"/>
          <w14:textFill>
            <w14:solidFill>
              <w14:schemeClr w14:val="tx1"/>
            </w14:solidFill>
          </w14:textFill>
        </w:rPr>
        <w:t xml:space="preserve">Quanto à </w:t>
      </w:r>
      <w:r>
        <w:rPr>
          <w:rFonts w:hint="default" w:ascii="Arial" w:hAnsi="Arial" w:cs="Arial"/>
          <w:b/>
          <w:bCs/>
          <w:color w:val="000000" w:themeColor="text1"/>
          <w:sz w:val="22"/>
          <w:szCs w:val="22"/>
          <w14:textFill>
            <w14:solidFill>
              <w14:schemeClr w14:val="tx1"/>
            </w14:solidFill>
          </w14:textFill>
        </w:rPr>
        <w:t>QUALIFICAÇÃO TÉCNICA</w:t>
      </w:r>
      <w:r>
        <w:rPr>
          <w:rFonts w:hint="default" w:cs="Arial"/>
          <w:b/>
          <w:bCs/>
          <w:color w:val="000000" w:themeColor="text1"/>
          <w:sz w:val="22"/>
          <w:szCs w:val="22"/>
          <w:lang w:val="pt-BR"/>
          <w14:textFill>
            <w14:solidFill>
              <w14:schemeClr w14:val="tx1"/>
            </w14:solidFill>
          </w14:textFill>
        </w:rPr>
        <w:t>:</w:t>
      </w:r>
    </w:p>
    <w:p>
      <w:pPr>
        <w:pStyle w:val="19"/>
        <w:numPr>
          <w:ilvl w:val="0"/>
          <w:numId w:val="0"/>
        </w:numPr>
        <w:tabs>
          <w:tab w:val="left" w:pos="1430"/>
        </w:tabs>
        <w:spacing w:before="0" w:after="0" w:line="240" w:lineRule="auto"/>
        <w:ind w:left="440" w:leftChars="200" w:right="268" w:rightChars="122" w:firstLine="0" w:firstLineChars="0"/>
        <w:jc w:val="both"/>
        <w:rPr>
          <w:rFonts w:hint="default" w:ascii="Arial" w:hAnsi="Arial" w:cs="Arial"/>
          <w:b w:val="0"/>
          <w:bCs w:val="0"/>
          <w:color w:val="000000" w:themeColor="text1"/>
          <w:sz w:val="22"/>
          <w:szCs w:val="22"/>
          <w14:textFill>
            <w14:solidFill>
              <w14:schemeClr w14:val="tx1"/>
            </w14:solidFill>
          </w14:textFill>
        </w:rPr>
      </w:pPr>
    </w:p>
    <w:p>
      <w:pPr>
        <w:pStyle w:val="19"/>
        <w:numPr>
          <w:ilvl w:val="0"/>
          <w:numId w:val="0"/>
        </w:numPr>
        <w:tabs>
          <w:tab w:val="left" w:pos="1100"/>
        </w:tabs>
        <w:spacing w:before="1" w:after="0" w:line="240" w:lineRule="auto"/>
        <w:ind w:left="440" w:leftChars="200" w:right="268" w:rightChars="122" w:firstLine="0" w:firstLineChars="0"/>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15.5.1 </w:t>
      </w:r>
      <w:r>
        <w:rPr>
          <w:rFonts w:hint="default" w:ascii="Arial" w:hAnsi="Arial" w:cs="Arial"/>
          <w:color w:val="000000" w:themeColor="text1"/>
          <w:sz w:val="22"/>
          <w:szCs w:val="22"/>
          <w14:textFill>
            <w14:solidFill>
              <w14:schemeClr w14:val="tx1"/>
            </w14:solidFill>
          </w14:textFill>
        </w:rPr>
        <w:t xml:space="preserve">Registro ou </w:t>
      </w:r>
      <w:r>
        <w:rPr>
          <w:rFonts w:hint="default" w:cs="Arial"/>
          <w:color w:val="000000" w:themeColor="text1"/>
          <w:sz w:val="22"/>
          <w:szCs w:val="22"/>
          <w:lang w:val="pt-BR"/>
          <w14:textFill>
            <w14:solidFill>
              <w14:schemeClr w14:val="tx1"/>
            </w14:solidFill>
          </w14:textFill>
        </w:rPr>
        <w:t>Inscrição</w:t>
      </w:r>
      <w:r>
        <w:rPr>
          <w:rFonts w:hint="default" w:ascii="Arial" w:hAnsi="Arial" w:cs="Arial"/>
          <w:color w:val="000000" w:themeColor="text1"/>
          <w:sz w:val="22"/>
          <w:szCs w:val="22"/>
          <w14:textFill>
            <w14:solidFill>
              <w14:schemeClr w14:val="tx1"/>
            </w14:solidFill>
          </w14:textFill>
        </w:rPr>
        <w:t xml:space="preserve"> na Entidade Profissional competente (CREA) do licitante</w:t>
      </w:r>
      <w:r>
        <w:rPr>
          <w:rFonts w:hint="default" w:cs="Arial"/>
          <w:color w:val="000000" w:themeColor="text1"/>
          <w:sz w:val="22"/>
          <w:szCs w:val="22"/>
          <w:lang w:val="pt-BR"/>
          <w14:textFill>
            <w14:solidFill>
              <w14:schemeClr w14:val="tx1"/>
            </w14:solidFill>
          </w14:textFill>
        </w:rPr>
        <w:t>;</w:t>
      </w:r>
    </w:p>
    <w:p>
      <w:pPr>
        <w:pStyle w:val="19"/>
        <w:numPr>
          <w:ilvl w:val="0"/>
          <w:numId w:val="0"/>
        </w:numPr>
        <w:tabs>
          <w:tab w:val="left" w:pos="1100"/>
        </w:tabs>
        <w:spacing w:before="1" w:after="0" w:line="240" w:lineRule="auto"/>
        <w:ind w:left="440" w:leftChars="200" w:right="268" w:rightChars="122" w:firstLine="0" w:firstLineChars="0"/>
        <w:jc w:val="both"/>
        <w:rPr>
          <w:rFonts w:hint="default" w:cs="Arial"/>
          <w:color w:val="000000" w:themeColor="text1"/>
          <w:sz w:val="22"/>
          <w:szCs w:val="22"/>
          <w:lang w:val="pt-BR"/>
          <w14:textFill>
            <w14:solidFill>
              <w14:schemeClr w14:val="tx1"/>
            </w14:solidFill>
          </w14:textFill>
        </w:rPr>
      </w:pPr>
    </w:p>
    <w:p>
      <w:pPr>
        <w:pStyle w:val="19"/>
        <w:numPr>
          <w:ilvl w:val="0"/>
          <w:numId w:val="0"/>
        </w:numPr>
        <w:tabs>
          <w:tab w:val="left" w:pos="1100"/>
        </w:tabs>
        <w:spacing w:before="1"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15.5.2 </w:t>
      </w:r>
      <w:r>
        <w:rPr>
          <w:rFonts w:hint="default" w:ascii="Arial" w:hAnsi="Arial" w:cs="Arial"/>
          <w:color w:val="000000" w:themeColor="text1"/>
          <w:sz w:val="22"/>
          <w:szCs w:val="22"/>
          <w14:textFill>
            <w14:solidFill>
              <w14:schemeClr w14:val="tx1"/>
            </w14:solidFill>
          </w14:textFill>
        </w:rPr>
        <w:t>Comprovação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técnico-profissional</w:t>
      </w:r>
      <w:r>
        <w:rPr>
          <w:rFonts w:hint="default" w:cs="Arial"/>
          <w:b/>
          <w:color w:val="000000" w:themeColor="text1"/>
          <w:sz w:val="22"/>
          <w:szCs w:val="22"/>
          <w:lang w:val="pt-BR"/>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se dará mediante a apresentação de documentos que comprovem</w:t>
      </w:r>
      <w:r>
        <w:rPr>
          <w:rFonts w:hint="default" w:ascii="Arial" w:hAnsi="Arial" w:cs="Arial"/>
          <w:b w:val="0"/>
          <w:bCs/>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 o licitante possui em seu quadro permanente, na data de entrega da proposta, profissionais conforme abaixo, detentores de Acervos Técnicos – CAT (S) do objeto contratado, emitidos pelo CREA:</w:t>
      </w:r>
    </w:p>
    <w:p>
      <w:pPr>
        <w:pStyle w:val="19"/>
        <w:numPr>
          <w:ilvl w:val="0"/>
          <w:numId w:val="0"/>
        </w:numPr>
        <w:tabs>
          <w:tab w:val="left" w:pos="1760"/>
        </w:tabs>
        <w:spacing w:before="186"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A) - </w:t>
      </w:r>
      <w:r>
        <w:rPr>
          <w:rFonts w:hint="default" w:ascii="Arial" w:hAnsi="Arial" w:cs="Arial"/>
          <w:color w:val="000000" w:themeColor="text1"/>
          <w:sz w:val="22"/>
          <w:szCs w:val="22"/>
          <w14:textFill>
            <w14:solidFill>
              <w14:schemeClr w14:val="tx1"/>
            </w14:solidFill>
          </w14:textFill>
        </w:rPr>
        <w:t>01 (um) Engenheiro Civil com especialidade nas áreas de hidrologia e/ou hidráulica, a ser indicado como responsável técnico – RT perante o CREA pelos estudos de ruptura e modelagem, detentor de certidão de acervo técnico – CAT, emitido pelo CREA, indicando explicitamente sua experiência na execução de projeto de barragens ou construção de barragens ou elaboração de plano de ações de emergência ou plano de segurança de barragem;</w:t>
      </w:r>
    </w:p>
    <w:p>
      <w:pPr>
        <w:pStyle w:val="19"/>
        <w:numPr>
          <w:ilvl w:val="0"/>
          <w:numId w:val="0"/>
        </w:numPr>
        <w:tabs>
          <w:tab w:val="left" w:pos="1760"/>
        </w:tabs>
        <w:spacing w:before="186"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B) - </w:t>
      </w:r>
      <w:r>
        <w:rPr>
          <w:rFonts w:hint="default" w:ascii="Arial" w:hAnsi="Arial" w:cs="Arial"/>
          <w:color w:val="000000" w:themeColor="text1"/>
          <w:sz w:val="22"/>
          <w:szCs w:val="22"/>
          <w14:textFill>
            <w14:solidFill>
              <w14:schemeClr w14:val="tx1"/>
            </w14:solidFill>
          </w14:textFill>
        </w:rPr>
        <w:t>01 (um) Engenheiro Civil com especialidade nas áreas de estruturas de barragens e/ou tecnologia do concreto a ser indicado como responsável técnico</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RT perante o CREA pelos serviços de projetos estruturais e de recuperação de barragens, em barragens de concreto, detentor de certidão de acervo técnico – CAT, emitido pelo CREA, indicando explicitamente sua experiência na execução dos serviços, compatíveis em características e quantidades com o objeto desta licitação;</w:t>
      </w:r>
    </w:p>
    <w:p>
      <w:pPr>
        <w:pStyle w:val="19"/>
        <w:numPr>
          <w:ilvl w:val="0"/>
          <w:numId w:val="0"/>
        </w:numPr>
        <w:tabs>
          <w:tab w:val="left" w:pos="1760"/>
        </w:tabs>
        <w:spacing w:before="186"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C) - </w:t>
      </w:r>
      <w:r>
        <w:rPr>
          <w:rFonts w:hint="default" w:ascii="Arial" w:hAnsi="Arial" w:cs="Arial"/>
          <w:color w:val="000000" w:themeColor="text1"/>
          <w:sz w:val="22"/>
          <w:szCs w:val="22"/>
          <w14:textFill>
            <w14:solidFill>
              <w14:schemeClr w14:val="tx1"/>
            </w14:solidFill>
          </w14:textFill>
        </w:rPr>
        <w:t>01 (um) Engenheiro Civil</w:t>
      </w:r>
      <w:r>
        <w:rPr>
          <w:rFonts w:hint="default" w:cs="Arial"/>
          <w:color w:val="000000" w:themeColor="text1"/>
          <w:sz w:val="22"/>
          <w:szCs w:val="22"/>
          <w:lang w:val="pt-BR"/>
          <w14:textFill>
            <w14:solidFill>
              <w14:schemeClr w14:val="tx1"/>
            </w14:solidFill>
          </w14:textFill>
        </w:rPr>
        <w:t>/Geólogo</w:t>
      </w:r>
      <w:r>
        <w:rPr>
          <w:rFonts w:hint="default" w:ascii="Arial" w:hAnsi="Arial" w:cs="Arial"/>
          <w:color w:val="000000" w:themeColor="text1"/>
          <w:sz w:val="22"/>
          <w:szCs w:val="22"/>
          <w14:textFill>
            <w14:solidFill>
              <w14:schemeClr w14:val="tx1"/>
            </w14:solidFill>
          </w14:textFill>
        </w:rPr>
        <w:t xml:space="preserve"> com especialidade em Geotecnia a ser indicado como responsável técnico – RT perante o CREA pelos serviços de projetos estruturais e de recuperação de barragens, em barragens de aterro, detentor de certidão de acervo técnico – CAT, emitido pelo CREA, indicando explicitamente sua experiência na execução dos serviços, compatíveis em características e quantidades com o objeto desta licitação;</w:t>
      </w:r>
    </w:p>
    <w:p>
      <w:pPr>
        <w:pStyle w:val="19"/>
        <w:numPr>
          <w:ilvl w:val="0"/>
          <w:numId w:val="0"/>
        </w:numPr>
        <w:tabs>
          <w:tab w:val="left" w:pos="1760"/>
        </w:tabs>
        <w:spacing w:before="186"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D) - </w:t>
      </w:r>
      <w:r>
        <w:rPr>
          <w:rFonts w:hint="default" w:ascii="Arial" w:hAnsi="Arial" w:cs="Arial"/>
          <w:color w:val="000000" w:themeColor="text1"/>
          <w:sz w:val="22"/>
          <w:szCs w:val="22"/>
          <w14:textFill>
            <w14:solidFill>
              <w14:schemeClr w14:val="tx1"/>
            </w14:solidFill>
          </w14:textFill>
        </w:rPr>
        <w:t>01</w:t>
      </w:r>
      <w:r>
        <w:rPr>
          <w:rFonts w:hint="default" w:cs="Arial"/>
          <w:color w:val="000000" w:themeColor="text1"/>
          <w:sz w:val="22"/>
          <w:szCs w:val="22"/>
          <w:lang w:val="pt-BR"/>
          <w14:textFill>
            <w14:solidFill>
              <w14:schemeClr w14:val="tx1"/>
            </w14:solidFill>
          </w14:textFill>
        </w:rPr>
        <w:t xml:space="preserve"> (um) E</w:t>
      </w:r>
      <w:r>
        <w:rPr>
          <w:rFonts w:hint="default" w:ascii="Arial" w:hAnsi="Arial" w:cs="Arial"/>
          <w:color w:val="000000" w:themeColor="text1"/>
          <w:sz w:val="22"/>
          <w:szCs w:val="22"/>
          <w14:textFill>
            <w14:solidFill>
              <w14:schemeClr w14:val="tx1"/>
            </w14:solidFill>
          </w14:textFill>
        </w:rPr>
        <w:t xml:space="preserve">ngenheiro </w:t>
      </w:r>
      <w:r>
        <w:rPr>
          <w:rFonts w:hint="default" w:cs="Arial"/>
          <w:color w:val="000000" w:themeColor="text1"/>
          <w:sz w:val="22"/>
          <w:szCs w:val="22"/>
          <w:lang w:val="pt-BR"/>
          <w14:textFill>
            <w14:solidFill>
              <w14:schemeClr w14:val="tx1"/>
            </w14:solidFill>
          </w14:textFill>
        </w:rPr>
        <w:t>C</w:t>
      </w:r>
      <w:r>
        <w:rPr>
          <w:rFonts w:hint="default" w:ascii="Arial" w:hAnsi="Arial" w:cs="Arial"/>
          <w:color w:val="000000" w:themeColor="text1"/>
          <w:sz w:val="22"/>
          <w:szCs w:val="22"/>
          <w14:textFill>
            <w14:solidFill>
              <w14:schemeClr w14:val="tx1"/>
            </w14:solidFill>
          </w14:textFill>
        </w:rPr>
        <w:t>ivil</w:t>
      </w:r>
      <w:r>
        <w:rPr>
          <w:rFonts w:hint="default" w:cs="Arial"/>
          <w:color w:val="000000" w:themeColor="text1"/>
          <w:sz w:val="22"/>
          <w:szCs w:val="22"/>
          <w:lang w:val="pt-BR"/>
          <w14:textFill>
            <w14:solidFill>
              <w14:schemeClr w14:val="tx1"/>
            </w14:solidFill>
          </w14:textFill>
        </w:rPr>
        <w:t>/Geólogo</w:t>
      </w:r>
      <w:r>
        <w:rPr>
          <w:rFonts w:hint="default" w:ascii="Arial" w:hAnsi="Arial" w:cs="Arial"/>
          <w:color w:val="000000" w:themeColor="text1"/>
          <w:sz w:val="22"/>
          <w:szCs w:val="22"/>
          <w14:textFill>
            <w14:solidFill>
              <w14:schemeClr w14:val="tx1"/>
            </w14:solidFill>
          </w14:textFill>
        </w:rPr>
        <w:t xml:space="preserve"> responsável pelos estudos geológicos de fundações a ser indicado como Responsável Técnico – RT perante o CREA pelos estudos geológicos de fundações de barragens, detentor de Certidão de Acervo Técnico – CAT, emitido pelo CREA, indicando explicitamente sua experiência na execução dos serviços, compatíveis em características e quantidades com o objeto desta licitação.</w:t>
      </w:r>
    </w:p>
    <w:p>
      <w:pPr>
        <w:pStyle w:val="19"/>
        <w:numPr>
          <w:ilvl w:val="0"/>
          <w:numId w:val="0"/>
        </w:numPr>
        <w:tabs>
          <w:tab w:val="left" w:pos="1760"/>
        </w:tabs>
        <w:spacing w:before="186" w:after="0" w:line="240" w:lineRule="auto"/>
        <w:ind w:left="440" w:leftChars="200" w:right="268" w:rightChars="122" w:firstLine="0" w:firstLineChars="0"/>
        <w:jc w:val="both"/>
        <w:rPr>
          <w:rFonts w:hint="default" w:ascii="Arial" w:hAnsi="Arial" w:cs="Arial"/>
          <w:color w:val="000000" w:themeColor="text1"/>
          <w:spacing w:val="-9"/>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15.5.2.1. </w:t>
      </w:r>
      <w:r>
        <w:rPr>
          <w:rFonts w:hint="default" w:ascii="Arial" w:hAnsi="Arial" w:cs="Arial"/>
          <w:color w:val="000000" w:themeColor="text1"/>
          <w:spacing w:val="-9"/>
          <w:sz w:val="22"/>
          <w:szCs w:val="22"/>
          <w14:textFill>
            <w14:solidFill>
              <w14:schemeClr w14:val="tx1"/>
            </w14:solidFill>
          </w14:textFill>
        </w:rPr>
        <w:t>A capacitação técnico-profissional acima referida deverá ser feita por meio de atestados fornecidos por pessoa jurídica de direito público ou privado, devidamente registrado na entidade profissional competente, por intermédio de Certidão de Acervo Técnico (CAT)</w:t>
      </w:r>
      <w:r>
        <w:rPr>
          <w:rFonts w:hint="default" w:ascii="Arial" w:hAnsi="Arial" w:cs="Arial"/>
          <w:color w:val="000000" w:themeColor="text1"/>
          <w:spacing w:val="-9"/>
          <w:sz w:val="22"/>
          <w:szCs w:val="22"/>
          <w:lang w:val="pt-BR"/>
          <w14:textFill>
            <w14:solidFill>
              <w14:schemeClr w14:val="tx1"/>
            </w14:solidFill>
          </w14:textFill>
        </w:rPr>
        <w:t>;</w:t>
      </w:r>
    </w:p>
    <w:p>
      <w:pPr>
        <w:pStyle w:val="6"/>
        <w:ind w:left="440" w:leftChars="200" w:right="268" w:rightChars="122" w:firstLine="0" w:firstLineChars="0"/>
        <w:jc w:val="both"/>
        <w:rPr>
          <w:rFonts w:hint="default" w:ascii="Arial" w:hAnsi="Arial" w:cs="Arial"/>
          <w:color w:val="000000" w:themeColor="text1"/>
          <w:spacing w:val="-9"/>
          <w:sz w:val="22"/>
          <w:szCs w:val="22"/>
          <w:lang w:val="pt-BR"/>
          <w14:textFill>
            <w14:solidFill>
              <w14:schemeClr w14:val="tx1"/>
            </w14:solidFill>
          </w14:textFill>
        </w:rPr>
      </w:pPr>
    </w:p>
    <w:p>
      <w:pPr>
        <w:pStyle w:val="6"/>
        <w:ind w:left="440" w:leftChars="200" w:right="268" w:rightChars="122" w:firstLine="0" w:firstLineChars="0"/>
        <w:jc w:val="both"/>
        <w:rPr>
          <w:rFonts w:hint="default" w:ascii="Arial" w:hAnsi="Arial" w:cs="Arial"/>
          <w:color w:val="000000" w:themeColor="text1"/>
          <w:spacing w:val="-9"/>
          <w:sz w:val="22"/>
          <w:szCs w:val="22"/>
          <w:highlight w:val="none"/>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15.5.2.2.</w:t>
      </w:r>
      <w:r>
        <w:rPr>
          <w:rFonts w:hint="default" w:ascii="Arial" w:hAnsi="Arial" w:cs="Arial"/>
          <w:color w:val="FF0000"/>
          <w:spacing w:val="-9"/>
          <w:sz w:val="22"/>
          <w:szCs w:val="22"/>
          <w:lang w:val="pt-BR"/>
        </w:rPr>
        <w:t xml:space="preserve"> </w:t>
      </w:r>
      <w:r>
        <w:rPr>
          <w:rFonts w:hint="default" w:ascii="Arial" w:hAnsi="Arial" w:cs="Arial"/>
          <w:color w:val="000000" w:themeColor="text1"/>
          <w:spacing w:val="-9"/>
          <w:sz w:val="22"/>
          <w:szCs w:val="22"/>
          <w:lang w:val="pt-BR"/>
          <w14:textFill>
            <w14:solidFill>
              <w14:schemeClr w14:val="tx1"/>
            </w14:solidFill>
          </w14:textFill>
        </w:rPr>
        <w:t xml:space="preserve">Para apresentação das CAT’s – Certidões de Acervos Técnicos em nome do(s) profissional (is), seguir conforme </w:t>
      </w:r>
      <w:r>
        <w:rPr>
          <w:rFonts w:hint="default" w:ascii="Arial" w:hAnsi="Arial" w:cs="Arial"/>
          <w:color w:val="000000" w:themeColor="text1"/>
          <w:spacing w:val="-9"/>
          <w:sz w:val="22"/>
          <w:szCs w:val="22"/>
          <w:highlight w:val="none"/>
          <w:lang w:val="pt-BR"/>
          <w14:textFill>
            <w14:solidFill>
              <w14:schemeClr w14:val="tx1"/>
            </w14:solidFill>
          </w14:textFill>
        </w:rPr>
        <w:t>Modelo disposto no Anexo XII</w:t>
      </w:r>
      <w:r>
        <w:rPr>
          <w:rFonts w:hint="default" w:cs="Arial"/>
          <w:color w:val="000000" w:themeColor="text1"/>
          <w:spacing w:val="-9"/>
          <w:sz w:val="22"/>
          <w:szCs w:val="22"/>
          <w:highlight w:val="none"/>
          <w:lang w:val="pt-BR"/>
          <w14:textFill>
            <w14:solidFill>
              <w14:schemeClr w14:val="tx1"/>
            </w14:solidFill>
          </w14:textFill>
        </w:rPr>
        <w:t>I</w:t>
      </w:r>
      <w:r>
        <w:rPr>
          <w:rFonts w:hint="default" w:ascii="Arial" w:hAnsi="Arial" w:cs="Arial"/>
          <w:color w:val="000000" w:themeColor="text1"/>
          <w:spacing w:val="-9"/>
          <w:sz w:val="22"/>
          <w:szCs w:val="22"/>
          <w:highlight w:val="none"/>
          <w:lang w:val="pt-BR"/>
          <w14:textFill>
            <w14:solidFill>
              <w14:schemeClr w14:val="tx1"/>
            </w14:solidFill>
          </w14:textFill>
        </w:rPr>
        <w:t>.</w:t>
      </w:r>
    </w:p>
    <w:p>
      <w:pPr>
        <w:pStyle w:val="6"/>
        <w:ind w:left="440" w:leftChars="200" w:right="268" w:rightChars="122" w:firstLine="0" w:firstLineChars="0"/>
        <w:jc w:val="both"/>
        <w:rPr>
          <w:rFonts w:hint="default" w:ascii="Arial" w:hAnsi="Arial" w:cs="Arial"/>
          <w:color w:val="000000" w:themeColor="text1"/>
          <w:spacing w:val="-9"/>
          <w:sz w:val="22"/>
          <w:szCs w:val="22"/>
          <w:highlight w:val="none"/>
          <w:lang w:val="pt-BR"/>
          <w14:textFill>
            <w14:solidFill>
              <w14:schemeClr w14:val="tx1"/>
            </w14:solidFill>
          </w14:textFill>
        </w:rPr>
      </w:pPr>
    </w:p>
    <w:p>
      <w:pPr>
        <w:pStyle w:val="6"/>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15.5.2.3.</w:t>
      </w:r>
      <w:r>
        <w:rPr>
          <w:rFonts w:hint="default" w:ascii="Arial" w:hAnsi="Arial" w:cs="Arial"/>
          <w:color w:val="000000" w:themeColor="text1"/>
          <w:sz w:val="22"/>
          <w:szCs w:val="22"/>
          <w14:textFill>
            <w14:solidFill>
              <w14:schemeClr w14:val="tx1"/>
            </w14:solidFill>
          </w14:textFill>
        </w:rPr>
        <w:t xml:space="preserve"> A comprovação de vínculo profissional pode se dar mediante contrato social, registro na carteira profissional, ficha de empregado ou contrato de trabalho, admitindo-se a contratação de profissional autônomo, que preencha os requisitos e se responsabilize tecnicamente pela execução dos serviços, nos moldes da súmula 25 do Tribunal de Contas do Estado de São Paulo.</w:t>
      </w:r>
    </w:p>
    <w:p>
      <w:pPr>
        <w:pStyle w:val="6"/>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p>
    <w:p>
      <w:pPr>
        <w:pStyle w:val="6"/>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15.5.2.4.</w:t>
      </w:r>
      <w:r>
        <w:rPr>
          <w:rFonts w:hint="default" w:ascii="Arial" w:hAnsi="Arial" w:cs="Arial"/>
          <w:color w:val="000000" w:themeColor="text1"/>
          <w:sz w:val="22"/>
          <w:szCs w:val="22"/>
          <w:lang w:val="pt-BR"/>
          <w14:textFill>
            <w14:solidFill>
              <w14:schemeClr w14:val="tx1"/>
            </w14:solidFill>
          </w14:textFill>
        </w:rPr>
        <w:t xml:space="preserve"> No caso do profissional técnico integrar o contrato social da empresa licitante, tal comprovação poderá ser feita por meio de cópia autenticada do documento que comprove a sua qualificação e habilitação profissional.</w:t>
      </w:r>
    </w:p>
    <w:p>
      <w:pPr>
        <w:pStyle w:val="6"/>
        <w:ind w:left="440" w:leftChars="200" w:right="268" w:rightChars="122" w:firstLine="0" w:firstLineChars="0"/>
        <w:rPr>
          <w:rFonts w:hint="default" w:ascii="Arial" w:hAnsi="Arial" w:cs="Arial"/>
          <w:b w:val="0"/>
          <w:bCs w:val="0"/>
          <w:color w:val="000000" w:themeColor="text1"/>
          <w:sz w:val="22"/>
          <w:szCs w:val="22"/>
          <w14:textFill>
            <w14:solidFill>
              <w14:schemeClr w14:val="tx1"/>
            </w14:solidFill>
          </w14:textFill>
        </w:rPr>
      </w:pPr>
    </w:p>
    <w:p>
      <w:pPr>
        <w:pStyle w:val="19"/>
        <w:numPr>
          <w:ilvl w:val="0"/>
          <w:numId w:val="0"/>
        </w:numPr>
        <w:tabs>
          <w:tab w:val="left" w:pos="1716"/>
        </w:tabs>
        <w:spacing w:before="1"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b w:val="0"/>
          <w:bCs w:val="0"/>
          <w:color w:val="000000" w:themeColor="text1"/>
          <w:sz w:val="22"/>
          <w:szCs w:val="22"/>
          <w:lang w:val="pt-BR"/>
          <w14:textFill>
            <w14:solidFill>
              <w14:schemeClr w14:val="tx1"/>
            </w14:solidFill>
          </w14:textFill>
        </w:rPr>
        <w:t>15.5.3.</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Comprovação técnico-operacional</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será realizada mediante a apresentação da(s) respectiva(s) CAT(s), expedida pela entidade profissional competente, comprovando a execução de obras ou serviço com características semelhantes ao objeto da presente licitação</w:t>
      </w:r>
      <w:r>
        <w:rPr>
          <w:rFonts w:hint="default" w:ascii="Arial" w:hAnsi="Arial" w:cs="Arial"/>
          <w:color w:val="000000" w:themeColor="text1"/>
          <w:sz w:val="22"/>
          <w:szCs w:val="22"/>
          <w:highlight w:val="none"/>
          <w:lang w:val="pt-BR"/>
          <w14:textFill>
            <w14:solidFill>
              <w14:schemeClr w14:val="tx1"/>
            </w14:solidFill>
          </w14:textFill>
        </w:rPr>
        <w:t xml:space="preserve">, acompanhadas </w:t>
      </w:r>
      <w:r>
        <w:rPr>
          <w:rFonts w:hint="default" w:ascii="Arial" w:hAnsi="Arial" w:cs="Arial"/>
          <w:color w:val="000000" w:themeColor="text1"/>
          <w:sz w:val="22"/>
          <w:szCs w:val="22"/>
          <w:highlight w:val="none"/>
          <w14:textFill>
            <w14:solidFill>
              <w14:schemeClr w14:val="tx1"/>
            </w14:solidFill>
          </w14:textFill>
        </w:rPr>
        <w:t>de atestados fornecidos por pessoas jurídicas de direito público ou privado, em nome da empresa licitante, e também atestados em nome do engenheiro responsável técnico pela empresa, devidamente registrados nas entidades profissionais competentes. As características de e/ou parcelas de maior relevância técnica e/ou valor significativo do objeto licitado estão discriminados no quadro abaixo</w:t>
      </w:r>
    </w:p>
    <w:p>
      <w:pPr>
        <w:spacing w:after="0" w:line="240" w:lineRule="auto"/>
        <w:ind w:left="440" w:leftChars="200" w:right="268" w:rightChars="122" w:firstLine="0" w:firstLineChars="0"/>
        <w:jc w:val="left"/>
        <w:rPr>
          <w:rFonts w:hint="default" w:ascii="Arial" w:hAnsi="Arial" w:cs="Arial"/>
          <w:color w:val="000000" w:themeColor="text1"/>
          <w:sz w:val="22"/>
          <w:szCs w:val="22"/>
          <w14:textFill>
            <w14:solidFill>
              <w14:schemeClr w14:val="tx1"/>
            </w14:solidFill>
          </w14:textFill>
        </w:rPr>
      </w:pPr>
    </w:p>
    <w:tbl>
      <w:tblPr>
        <w:tblStyle w:val="17"/>
        <w:tblW w:w="9188"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8" w:hRule="atLeast"/>
        </w:trPr>
        <w:tc>
          <w:tcPr>
            <w:tcW w:w="1786" w:type="dxa"/>
            <w:tcBorders>
              <w:top w:val="single" w:color="auto" w:sz="4" w:space="0"/>
              <w:left w:val="single" w:color="auto" w:sz="4" w:space="0"/>
              <w:bottom w:val="single" w:color="auto" w:sz="4" w:space="0"/>
              <w:right w:val="single" w:color="auto" w:sz="4" w:space="0"/>
            </w:tcBorders>
            <w:vAlign w:val="top"/>
          </w:tcPr>
          <w:p>
            <w:pPr>
              <w:ind w:left="440" w:leftChars="200" w:right="268" w:rightChars="122" w:firstLine="0" w:firstLineChars="0"/>
              <w:jc w:val="both"/>
              <w:rPr>
                <w:rFonts w:hint="default" w:ascii="Arial" w:hAnsi="Arial" w:cs="Arial"/>
                <w:b/>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highlight w:val="none"/>
                <w14:textFill>
                  <w14:solidFill>
                    <w14:schemeClr w14:val="tx1"/>
                  </w14:solidFill>
                </w14:textFill>
              </w:rPr>
              <w:t>Item</w:t>
            </w:r>
          </w:p>
        </w:tc>
        <w:tc>
          <w:tcPr>
            <w:tcW w:w="7402" w:type="dxa"/>
            <w:tcBorders>
              <w:top w:val="single" w:color="auto" w:sz="4" w:space="0"/>
              <w:left w:val="single" w:color="auto" w:sz="4" w:space="0"/>
              <w:bottom w:val="single" w:color="auto" w:sz="4" w:space="0"/>
              <w:right w:val="single" w:color="auto" w:sz="4" w:space="0"/>
            </w:tcBorders>
            <w:vAlign w:val="top"/>
          </w:tcPr>
          <w:p>
            <w:pPr>
              <w:ind w:left="440" w:leftChars="200" w:right="268" w:rightChars="122" w:firstLine="0" w:firstLineChars="0"/>
              <w:jc w:val="both"/>
              <w:rPr>
                <w:rFonts w:hint="default" w:ascii="Arial" w:hAnsi="Arial" w:cs="Arial"/>
                <w:b/>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highlight w:val="none"/>
                <w14:textFill>
                  <w14:solidFill>
                    <w14:schemeClr w14:val="tx1"/>
                  </w14:solidFill>
                </w14:textFill>
              </w:rPr>
              <w:t>Descrição dos Serviços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8" w:hRule="atLeast"/>
        </w:trPr>
        <w:tc>
          <w:tcPr>
            <w:tcW w:w="1786" w:type="dxa"/>
            <w:tcBorders>
              <w:top w:val="single" w:color="auto" w:sz="4" w:space="0"/>
              <w:left w:val="single" w:color="auto" w:sz="4" w:space="0"/>
              <w:bottom w:val="single" w:color="auto" w:sz="4" w:space="0"/>
              <w:right w:val="single" w:color="auto" w:sz="4" w:space="0"/>
            </w:tcBorders>
            <w:vAlign w:val="center"/>
          </w:tcPr>
          <w:p>
            <w:pPr>
              <w:ind w:left="440" w:leftChars="200" w:right="268" w:rightChars="122" w:firstLine="0" w:firstLineChars="0"/>
              <w:jc w:val="both"/>
              <w:rPr>
                <w:rFonts w:hint="default" w:ascii="Arial" w:hAnsi="Arial" w:cs="Arial"/>
                <w:b/>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highlight w:val="none"/>
                <w14:textFill>
                  <w14:solidFill>
                    <w14:schemeClr w14:val="tx1"/>
                  </w14:solidFill>
                </w14:textFill>
              </w:rPr>
              <w:t>1</w:t>
            </w:r>
          </w:p>
        </w:tc>
        <w:tc>
          <w:tcPr>
            <w:tcW w:w="7402" w:type="dxa"/>
            <w:tcBorders>
              <w:top w:val="single" w:color="auto" w:sz="4" w:space="0"/>
              <w:left w:val="single" w:color="auto" w:sz="4" w:space="0"/>
              <w:bottom w:val="single" w:color="auto" w:sz="4" w:space="0"/>
              <w:right w:val="single" w:color="auto" w:sz="4" w:space="0"/>
            </w:tcBorders>
            <w:vAlign w:val="top"/>
          </w:tcPr>
          <w:p>
            <w:pPr>
              <w:tabs>
                <w:tab w:val="left" w:pos="2905"/>
              </w:tabs>
              <w:ind w:left="440" w:leftChars="200" w:right="268" w:rightChars="122" w:firstLine="0" w:firstLineChars="0"/>
              <w:jc w:val="both"/>
              <w:rPr>
                <w:rFonts w:ascii="Arial" w:hAnsi="Arial" w:cs="Arial"/>
                <w:color w:val="000000" w:themeColor="text1"/>
                <w:sz w:val="22"/>
                <w:szCs w:val="22"/>
                <w:lang w:val="pt-BR"/>
                <w14:textFill>
                  <w14:solidFill>
                    <w14:schemeClr w14:val="tx1"/>
                  </w14:solidFill>
                </w14:textFill>
              </w:rPr>
            </w:pPr>
            <w:r>
              <w:rPr>
                <w:rFonts w:cs="Arial"/>
                <w:color w:val="000000" w:themeColor="text1"/>
                <w:sz w:val="22"/>
                <w:szCs w:val="22"/>
                <w:lang w:val="pt-BR"/>
                <w14:textFill>
                  <w14:solidFill>
                    <w14:schemeClr w14:val="tx1"/>
                  </w14:solidFill>
                </w14:textFill>
              </w:rPr>
              <w:t>Ter elaborado Plano de Segurança de Barragens, de acordo com a lei 12.334, de 20 de setembro de 2010.</w:t>
            </w:r>
          </w:p>
        </w:tc>
      </w:tr>
    </w:tbl>
    <w:p>
      <w:pPr>
        <w:pStyle w:val="6"/>
        <w:spacing w:before="10"/>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6"/>
        <w:ind w:left="440" w:leftChars="200" w:right="268" w:rightChars="122" w:firstLine="0" w:firstLineChars="0"/>
        <w:jc w:val="both"/>
        <w:rPr>
          <w:rFonts w:hint="default" w:ascii="Arial" w:hAnsi="Arial" w:cs="Arial"/>
          <w:color w:val="000000" w:themeColor="text1"/>
          <w:spacing w:val="-9"/>
          <w:sz w:val="22"/>
          <w:szCs w:val="22"/>
          <w:highlight w:val="none"/>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15.5.3.1</w:t>
      </w:r>
      <w:r>
        <w:rPr>
          <w:rFonts w:hint="default" w:ascii="Arial" w:hAnsi="Arial" w:cs="Arial"/>
          <w:color w:val="000000" w:themeColor="text1"/>
          <w:spacing w:val="-9"/>
          <w:sz w:val="22"/>
          <w:szCs w:val="22"/>
          <w14:textFill>
            <w14:solidFill>
              <w14:schemeClr w14:val="tx1"/>
            </w14:solidFill>
          </w14:textFill>
        </w:rPr>
        <w:t xml:space="preserve"> Para apresentação dos atestados em nome da empresa, </w:t>
      </w:r>
      <w:r>
        <w:rPr>
          <w:rFonts w:hint="default" w:ascii="Arial" w:hAnsi="Arial" w:cs="Arial"/>
          <w:color w:val="000000" w:themeColor="text1"/>
          <w:spacing w:val="-9"/>
          <w:sz w:val="22"/>
          <w:szCs w:val="22"/>
          <w:highlight w:val="none"/>
          <w14:textFill>
            <w14:solidFill>
              <w14:schemeClr w14:val="tx1"/>
            </w14:solidFill>
          </w14:textFill>
        </w:rPr>
        <w:t>seguir Modelo disposto no Anexo</w:t>
      </w:r>
      <w:r>
        <w:rPr>
          <w:rFonts w:hint="default" w:ascii="Arial" w:hAnsi="Arial" w:cs="Arial"/>
          <w:color w:val="000000" w:themeColor="text1"/>
          <w:spacing w:val="-9"/>
          <w:sz w:val="22"/>
          <w:szCs w:val="22"/>
          <w:highlight w:val="none"/>
          <w:lang w:val="pt-BR"/>
          <w14:textFill>
            <w14:solidFill>
              <w14:schemeClr w14:val="tx1"/>
            </w14:solidFill>
          </w14:textFill>
        </w:rPr>
        <w:t xml:space="preserve"> X</w:t>
      </w:r>
      <w:r>
        <w:rPr>
          <w:rFonts w:hint="default" w:cs="Arial"/>
          <w:color w:val="000000" w:themeColor="text1"/>
          <w:spacing w:val="-9"/>
          <w:sz w:val="22"/>
          <w:szCs w:val="22"/>
          <w:highlight w:val="none"/>
          <w:lang w:val="pt-BR"/>
          <w14:textFill>
            <w14:solidFill>
              <w14:schemeClr w14:val="tx1"/>
            </w14:solidFill>
          </w14:textFill>
        </w:rPr>
        <w:t>IV</w:t>
      </w:r>
      <w:r>
        <w:rPr>
          <w:rFonts w:hint="default" w:ascii="Arial" w:hAnsi="Arial" w:cs="Arial"/>
          <w:color w:val="000000" w:themeColor="text1"/>
          <w:spacing w:val="-9"/>
          <w:sz w:val="22"/>
          <w:szCs w:val="22"/>
          <w:highlight w:val="none"/>
          <w:lang w:val="pt-BR"/>
          <w14:textFill>
            <w14:solidFill>
              <w14:schemeClr w14:val="tx1"/>
            </w14:solidFill>
          </w14:textFill>
        </w:rPr>
        <w:t>;</w:t>
      </w: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15.5.4 </w:t>
      </w:r>
      <w:r>
        <w:rPr>
          <w:rFonts w:hint="default" w:cs="Arial"/>
          <w:b/>
          <w:bCs/>
          <w:color w:val="000000" w:themeColor="text1"/>
          <w:sz w:val="22"/>
          <w:szCs w:val="22"/>
          <w:lang w:val="pt-BR"/>
          <w14:textFill>
            <w14:solidFill>
              <w14:schemeClr w14:val="tx1"/>
            </w14:solidFill>
          </w14:textFill>
        </w:rPr>
        <w:t>Declaração</w:t>
      </w:r>
      <w:r>
        <w:rPr>
          <w:rFonts w:hint="default" w:cs="Arial"/>
          <w:color w:val="000000" w:themeColor="text1"/>
          <w:sz w:val="22"/>
          <w:szCs w:val="22"/>
          <w:lang w:val="pt-BR"/>
          <w14:textFill>
            <w14:solidFill>
              <w14:schemeClr w14:val="tx1"/>
            </w14:solidFill>
          </w14:textFill>
        </w:rPr>
        <w:t xml:space="preserve"> com i</w:t>
      </w:r>
      <w:r>
        <w:rPr>
          <w:rFonts w:hint="default" w:ascii="Arial" w:hAnsi="Arial" w:cs="Arial"/>
          <w:color w:val="000000" w:themeColor="text1"/>
          <w:sz w:val="22"/>
          <w:szCs w:val="22"/>
          <w:lang w:val="pt-BR"/>
          <w14:textFill>
            <w14:solidFill>
              <w14:schemeClr w14:val="tx1"/>
            </w14:solidFill>
          </w14:textFill>
        </w:rPr>
        <w:t>ndicação das instalações, do aparelhamento e do pessoal técnico, adequados e disponíveis para o devido cumprimento da execução do contrato;</w:t>
      </w: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highlight w:val="none"/>
          <w:lang w:val="pt-BR"/>
          <w14:textFill>
            <w14:solidFill>
              <w14:schemeClr w14:val="tx1"/>
            </w14:solidFill>
          </w14:textFill>
        </w:rPr>
      </w:pPr>
      <w:r>
        <w:rPr>
          <w:rFonts w:hint="default" w:cs="Arial"/>
          <w:color w:val="000000" w:themeColor="text1"/>
          <w:sz w:val="22"/>
          <w:szCs w:val="22"/>
          <w:highlight w:val="none"/>
          <w:lang w:val="pt-BR"/>
          <w14:textFill>
            <w14:solidFill>
              <w14:schemeClr w14:val="tx1"/>
            </w14:solidFill>
          </w14:textFill>
        </w:rPr>
        <w:t xml:space="preserve">15.5.5 </w:t>
      </w:r>
      <w:r>
        <w:rPr>
          <w:rFonts w:hint="default" w:ascii="Arial" w:hAnsi="Arial" w:cs="Arial"/>
          <w:b/>
          <w:bCs/>
          <w:color w:val="000000" w:themeColor="text1"/>
          <w:sz w:val="22"/>
          <w:szCs w:val="22"/>
          <w:highlight w:val="none"/>
          <w:lang w:val="pt-BR"/>
          <w14:textFill>
            <w14:solidFill>
              <w14:schemeClr w14:val="tx1"/>
            </w14:solidFill>
          </w14:textFill>
        </w:rPr>
        <w:t>Declaração de Responsabilidade Técnica,</w:t>
      </w:r>
      <w:r>
        <w:rPr>
          <w:rFonts w:hint="default" w:ascii="Arial" w:hAnsi="Arial" w:cs="Arial"/>
          <w:color w:val="000000" w:themeColor="text1"/>
          <w:sz w:val="22"/>
          <w:szCs w:val="22"/>
          <w:highlight w:val="none"/>
          <w:lang w:val="pt-BR"/>
          <w14:textFill>
            <w14:solidFill>
              <w14:schemeClr w14:val="tx1"/>
            </w14:solidFill>
          </w14:textFill>
        </w:rPr>
        <w:t xml:space="preserve"> conforme Modelo disposto no Anexo X</w:t>
      </w:r>
      <w:r>
        <w:rPr>
          <w:rFonts w:hint="default" w:cs="Arial"/>
          <w:color w:val="000000" w:themeColor="text1"/>
          <w:sz w:val="22"/>
          <w:szCs w:val="22"/>
          <w:highlight w:val="none"/>
          <w:lang w:val="pt-BR"/>
          <w14:textFill>
            <w14:solidFill>
              <w14:schemeClr w14:val="tx1"/>
            </w14:solidFill>
          </w14:textFill>
        </w:rPr>
        <w:t>I</w:t>
      </w:r>
      <w:r>
        <w:rPr>
          <w:rFonts w:hint="default" w:ascii="Arial" w:hAnsi="Arial" w:cs="Arial"/>
          <w:color w:val="000000" w:themeColor="text1"/>
          <w:sz w:val="22"/>
          <w:szCs w:val="22"/>
          <w:highlight w:val="none"/>
          <w:lang w:val="pt-BR"/>
          <w14:textFill>
            <w14:solidFill>
              <w14:schemeClr w14:val="tx1"/>
            </w14:solidFill>
          </w14:textFill>
        </w:rPr>
        <w:t>I, indicando o profissional graduado pertencente ao seu quadro permanente, devidamente registrado na entidade profissional competente;</w:t>
      </w:r>
    </w:p>
    <w:p>
      <w:pPr>
        <w:pStyle w:val="6"/>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p>
    <w:p>
      <w:pPr>
        <w:pStyle w:val="6"/>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15.5.5.1 </w:t>
      </w:r>
      <w:r>
        <w:rPr>
          <w:rFonts w:hint="default" w:ascii="Arial" w:hAnsi="Arial" w:cs="Arial"/>
          <w:color w:val="000000" w:themeColor="text1"/>
          <w:sz w:val="22"/>
          <w:szCs w:val="22"/>
          <w:lang w:val="pt-BR"/>
          <w14:textFill>
            <w14:solidFill>
              <w14:schemeClr w14:val="tx1"/>
            </w14:solidFill>
          </w14:textFill>
        </w:rPr>
        <w:t>Juntamente com a Declaração a que se refere o subitem anterior, a licitante deverá comprovar que os profissionais indicados são detentores de responsabilidade técnica, devidamente certificado pelo CREA, que executaram atividades pertinentes e compatíveis com o objeto da licitação.</w:t>
      </w:r>
    </w:p>
    <w:p>
      <w:pPr>
        <w:pStyle w:val="6"/>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p>
    <w:p>
      <w:pPr>
        <w:pStyle w:val="6"/>
        <w:numPr>
          <w:ilvl w:val="0"/>
          <w:numId w:val="0"/>
        </w:numPr>
        <w:ind w:left="440" w:leftChars="200" w:right="268" w:rightChars="122" w:firstLine="0" w:firstLineChars="0"/>
        <w:jc w:val="both"/>
        <w:rPr>
          <w:rFonts w:hint="default" w:ascii="Arial" w:hAnsi="Arial" w:cs="Arial"/>
          <w:b/>
          <w:bCs/>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15.5.6 </w:t>
      </w:r>
      <w:r>
        <w:rPr>
          <w:rFonts w:hint="default" w:ascii="Arial" w:hAnsi="Arial" w:cs="Arial"/>
          <w:b/>
          <w:bCs/>
          <w:color w:val="000000" w:themeColor="text1"/>
          <w:sz w:val="22"/>
          <w:szCs w:val="22"/>
          <w:lang w:val="pt-BR"/>
          <w14:textFill>
            <w14:solidFill>
              <w14:schemeClr w14:val="tx1"/>
            </w14:solidFill>
          </w14:textFill>
        </w:rPr>
        <w:t>Declaração</w:t>
      </w:r>
      <w:r>
        <w:rPr>
          <w:rFonts w:hint="default" w:ascii="Arial" w:hAnsi="Arial" w:cs="Arial"/>
          <w:color w:val="000000" w:themeColor="text1"/>
          <w:sz w:val="22"/>
          <w:szCs w:val="22"/>
          <w:lang w:val="pt-BR"/>
          <w14:textFill>
            <w14:solidFill>
              <w14:schemeClr w14:val="tx1"/>
            </w14:solidFill>
          </w14:textFill>
        </w:rPr>
        <w:t xml:space="preserve">, conforme </w:t>
      </w:r>
      <w:r>
        <w:rPr>
          <w:rFonts w:hint="default" w:ascii="Arial" w:hAnsi="Arial" w:cs="Arial"/>
          <w:color w:val="000000" w:themeColor="text1"/>
          <w:sz w:val="22"/>
          <w:szCs w:val="22"/>
          <w:highlight w:val="none"/>
          <w:lang w:val="pt-BR"/>
          <w14:textFill>
            <w14:solidFill>
              <w14:schemeClr w14:val="tx1"/>
            </w14:solidFill>
          </w14:textFill>
        </w:rPr>
        <w:t>Modelo disposto no Anexo V</w:t>
      </w:r>
      <w:r>
        <w:rPr>
          <w:rFonts w:hint="default" w:cs="Arial"/>
          <w:color w:val="000000" w:themeColor="text1"/>
          <w:sz w:val="22"/>
          <w:szCs w:val="22"/>
          <w:highlight w:val="none"/>
          <w:lang w:val="pt-BR"/>
          <w14:textFill>
            <w14:solidFill>
              <w14:schemeClr w14:val="tx1"/>
            </w14:solidFill>
          </w14:textFill>
        </w:rPr>
        <w:t>I</w:t>
      </w:r>
      <w:r>
        <w:rPr>
          <w:rFonts w:hint="default" w:ascii="Arial" w:hAnsi="Arial" w:cs="Arial"/>
          <w:color w:val="000000" w:themeColor="text1"/>
          <w:sz w:val="22"/>
          <w:szCs w:val="22"/>
          <w:highlight w:val="none"/>
          <w:lang w:val="pt-BR"/>
          <w14:textFill>
            <w14:solidFill>
              <w14:schemeClr w14:val="tx1"/>
            </w14:solidFill>
          </w14:textFill>
        </w:rPr>
        <w:t xml:space="preserve">I, de </w:t>
      </w:r>
      <w:r>
        <w:rPr>
          <w:rFonts w:hint="default" w:ascii="Arial" w:hAnsi="Arial" w:cs="Arial"/>
          <w:b/>
          <w:bCs/>
          <w:color w:val="000000" w:themeColor="text1"/>
          <w:sz w:val="22"/>
          <w:szCs w:val="22"/>
          <w:highlight w:val="none"/>
          <w:lang w:val="pt-BR"/>
          <w14:textFill>
            <w14:solidFill>
              <w14:schemeClr w14:val="tx1"/>
            </w14:solidFill>
          </w14:textFill>
        </w:rPr>
        <w:t>conhecimento pleno do local de execução.</w:t>
      </w: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p>
    <w:p>
      <w:pPr>
        <w:pStyle w:val="6"/>
        <w:numPr>
          <w:ilvl w:val="0"/>
          <w:numId w:val="0"/>
        </w:numPr>
        <w:ind w:left="440" w:leftChars="200" w:right="268" w:rightChars="1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15.5.7 </w:t>
      </w:r>
      <w:r>
        <w:rPr>
          <w:rFonts w:hint="default" w:ascii="Arial" w:hAnsi="Arial" w:cs="Arial"/>
          <w:b/>
          <w:bCs/>
          <w:color w:val="000000" w:themeColor="text1"/>
          <w:sz w:val="22"/>
          <w:szCs w:val="22"/>
          <w14:textFill>
            <w14:solidFill>
              <w14:schemeClr w14:val="tx1"/>
            </w14:solidFill>
          </w14:textFill>
        </w:rPr>
        <w:t xml:space="preserve">Atestado de Visita Técnica </w:t>
      </w:r>
      <w:r>
        <w:rPr>
          <w:rFonts w:hint="default" w:ascii="Arial" w:hAnsi="Arial" w:cs="Arial"/>
          <w:color w:val="000000" w:themeColor="text1"/>
          <w:sz w:val="22"/>
          <w:szCs w:val="22"/>
          <w14:textFill>
            <w14:solidFill>
              <w14:schemeClr w14:val="tx1"/>
            </w14:solidFill>
          </w14:textFill>
        </w:rPr>
        <w:t>comprovando o comparecimento, a ser expedido pelo Departamento Técnico da CODEN, conforme</w:t>
      </w:r>
      <w:r>
        <w:rPr>
          <w:rFonts w:hint="default" w:ascii="Arial" w:hAnsi="Arial" w:cs="Arial"/>
          <w:b/>
          <w:color w:val="000000" w:themeColor="text1"/>
          <w:sz w:val="22"/>
          <w:szCs w:val="22"/>
          <w14:textFill>
            <w14:solidFill>
              <w14:schemeClr w14:val="tx1"/>
            </w14:solidFill>
          </w14:textFill>
        </w:rPr>
        <w:t xml:space="preserve"> Modelo </w:t>
      </w:r>
      <w:r>
        <w:rPr>
          <w:rFonts w:hint="default" w:ascii="Arial" w:hAnsi="Arial" w:cs="Arial"/>
          <w:color w:val="000000" w:themeColor="text1"/>
          <w:sz w:val="22"/>
          <w:szCs w:val="22"/>
          <w14:textFill>
            <w14:solidFill>
              <w14:schemeClr w14:val="tx1"/>
            </w14:solidFill>
          </w14:textFill>
        </w:rPr>
        <w:t>disposto no</w:t>
      </w:r>
      <w:r>
        <w:rPr>
          <w:rFonts w:hint="default" w:ascii="Arial" w:hAnsi="Arial" w:cs="Arial"/>
          <w:b/>
          <w:bCs w:val="0"/>
          <w:color w:val="000000" w:themeColor="text1"/>
          <w:sz w:val="22"/>
          <w:szCs w:val="22"/>
          <w14:textFill>
            <w14:solidFill>
              <w14:schemeClr w14:val="tx1"/>
            </w14:solidFill>
          </w14:textFill>
        </w:rPr>
        <w:t xml:space="preserve"> Anexo V</w:t>
      </w:r>
      <w:r>
        <w:rPr>
          <w:rFonts w:hint="default" w:cs="Arial"/>
          <w:b/>
          <w:bCs w:val="0"/>
          <w:color w:val="000000" w:themeColor="text1"/>
          <w:sz w:val="22"/>
          <w:szCs w:val="22"/>
          <w:lang w:val="pt-BR"/>
          <w14:textFill>
            <w14:solidFill>
              <w14:schemeClr w14:val="tx1"/>
            </w14:solidFill>
          </w14:textFill>
        </w:rPr>
        <w:t>I</w:t>
      </w:r>
      <w:r>
        <w:rPr>
          <w:rFonts w:hint="default" w:ascii="Arial" w:hAnsi="Arial" w:cs="Arial"/>
          <w:b/>
          <w:bCs w:val="0"/>
          <w:color w:val="000000" w:themeColor="text1"/>
          <w:sz w:val="22"/>
          <w:szCs w:val="22"/>
          <w:lang w:val="pt-BR"/>
          <w14:textFill>
            <w14:solidFill>
              <w14:schemeClr w14:val="tx1"/>
            </w14:solidFill>
          </w14:textFill>
        </w:rPr>
        <w:t>II</w:t>
      </w:r>
      <w:r>
        <w:rPr>
          <w:rFonts w:hint="default" w:cs="Arial"/>
          <w:b/>
          <w:bCs w:val="0"/>
          <w:color w:val="000000" w:themeColor="text1"/>
          <w:sz w:val="22"/>
          <w:szCs w:val="22"/>
          <w:lang w:val="pt-BR"/>
          <w14:textFill>
            <w14:solidFill>
              <w14:schemeClr w14:val="tx1"/>
            </w14:solidFill>
          </w14:textFill>
        </w:rPr>
        <w:t xml:space="preserve">, </w:t>
      </w:r>
      <w:r>
        <w:rPr>
          <w:rFonts w:hint="default" w:cs="Arial"/>
          <w:b/>
          <w:bCs w:val="0"/>
          <w:color w:val="000000" w:themeColor="text1"/>
          <w:sz w:val="22"/>
          <w:szCs w:val="22"/>
          <w:u w:val="single"/>
          <w:lang w:val="pt-BR"/>
          <w14:textFill>
            <w14:solidFill>
              <w14:schemeClr w14:val="tx1"/>
            </w14:solidFill>
          </w14:textFill>
        </w:rPr>
        <w:t>caso o licitante tenha realizado a visita</w:t>
      </w:r>
      <w:r>
        <w:rPr>
          <w:rFonts w:hint="default" w:cs="Arial"/>
          <w:b/>
          <w:bCs w:val="0"/>
          <w:color w:val="000000" w:themeColor="text1"/>
          <w:sz w:val="22"/>
          <w:szCs w:val="22"/>
          <w:lang w:val="pt-BR"/>
          <w14:textFill>
            <w14:solidFill>
              <w14:schemeClr w14:val="tx1"/>
            </w14:solidFill>
          </w14:textFill>
        </w:rPr>
        <w:t>.</w:t>
      </w:r>
    </w:p>
    <w:p>
      <w:pPr>
        <w:pStyle w:val="6"/>
        <w:ind w:left="440" w:leftChars="200" w:right="268" w:rightChars="122" w:firstLine="0" w:firstLineChars="0"/>
        <w:rPr>
          <w:rFonts w:hint="default" w:ascii="Arial" w:hAnsi="Arial" w:cs="Arial"/>
          <w:sz w:val="22"/>
          <w:szCs w:val="22"/>
        </w:rPr>
      </w:pP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1"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19"/>
        <w:numPr>
          <w:ilvl w:val="0"/>
          <w:numId w:val="9"/>
        </w:numPr>
        <w:tabs>
          <w:tab w:val="left" w:pos="1100"/>
        </w:tabs>
        <w:spacing w:before="0" w:after="0" w:line="259"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9"/>
        <w:numPr>
          <w:ilvl w:val="1"/>
          <w:numId w:val="9"/>
        </w:numPr>
        <w:spacing w:before="159"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9"/>
        <w:numPr>
          <w:ilvl w:val="1"/>
          <w:numId w:val="9"/>
        </w:numPr>
        <w:spacing w:before="159"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6"/>
        <w:ind w:left="440" w:leftChars="200" w:right="268" w:rightChars="122" w:firstLine="0" w:firstLineChars="0"/>
        <w:rPr>
          <w:rFonts w:hint="default" w:ascii="Arial" w:hAnsi="Arial" w:cs="Arial"/>
          <w:sz w:val="22"/>
          <w:szCs w:val="22"/>
        </w:rPr>
      </w:pPr>
    </w:p>
    <w:p>
      <w:pPr>
        <w:pStyle w:val="19"/>
        <w:numPr>
          <w:ilvl w:val="0"/>
          <w:numId w:val="9"/>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6"/>
        <w:ind w:left="440" w:leftChars="200" w:right="268" w:rightChars="122" w:firstLine="0" w:firstLineChars="0"/>
        <w:rPr>
          <w:rFonts w:hint="default" w:ascii="Arial" w:hAnsi="Arial" w:cs="Arial"/>
          <w:sz w:val="22"/>
          <w:szCs w:val="22"/>
        </w:rPr>
      </w:pPr>
    </w:p>
    <w:p>
      <w:pPr>
        <w:pStyle w:val="19"/>
        <w:numPr>
          <w:ilvl w:val="1"/>
          <w:numId w:val="9"/>
        </w:numPr>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6"/>
        <w:spacing w:before="10"/>
        <w:ind w:left="440" w:leftChars="200" w:right="268" w:rightChars="122" w:firstLine="0" w:firstLineChars="0"/>
        <w:rPr>
          <w:rFonts w:hint="default" w:ascii="Arial" w:hAnsi="Arial" w:cs="Arial"/>
          <w:sz w:val="22"/>
          <w:szCs w:val="22"/>
        </w:rPr>
      </w:pPr>
    </w:p>
    <w:p>
      <w:pPr>
        <w:pStyle w:val="19"/>
        <w:numPr>
          <w:ilvl w:val="0"/>
          <w:numId w:val="9"/>
        </w:numPr>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6"/>
        <w:ind w:left="440" w:leftChars="200" w:right="268" w:rightChars="122" w:firstLine="0" w:firstLineChars="0"/>
        <w:rPr>
          <w:rFonts w:hint="default" w:ascii="Arial" w:hAnsi="Arial" w:cs="Arial"/>
          <w:sz w:val="22"/>
          <w:szCs w:val="22"/>
        </w:rPr>
      </w:pPr>
    </w:p>
    <w:p>
      <w:pPr>
        <w:pStyle w:val="19"/>
        <w:numPr>
          <w:ilvl w:val="0"/>
          <w:numId w:val="10"/>
        </w:numPr>
        <w:tabs>
          <w:tab w:val="left" w:pos="157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1276" w:leftChars="580" w:right="268" w:rightChars="122" w:firstLine="968" w:firstLineChars="440"/>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ind w:left="440" w:leftChars="200" w:right="268" w:rightChars="122" w:firstLine="0" w:firstLineChars="0"/>
        <w:rPr>
          <w:rFonts w:hint="default" w:ascii="Arial" w:hAnsi="Arial" w:eastAsia="Cambria Math" w:cs="Arial"/>
          <w:sz w:val="22"/>
          <w:szCs w:val="22"/>
        </w:rPr>
      </w:pPr>
    </w:p>
    <w:p>
      <w:pPr>
        <w:spacing w:after="0" w:line="224" w:lineRule="exact"/>
        <w:ind w:left="440" w:leftChars="200" w:right="268" w:rightChars="122" w:firstLine="0" w:firstLineChars="0"/>
        <w:rPr>
          <w:rFonts w:hint="default" w:ascii="Arial" w:hAnsi="Arial" w:eastAsia="Cambria Math" w:cs="Arial"/>
          <w:sz w:val="22"/>
          <w:szCs w:val="22"/>
        </w:rPr>
      </w:pPr>
      <w:r>
        <w:rPr>
          <w:rFonts w:hint="default" w:ascii="Arial" w:hAnsi="Arial" w:eastAsia="Cambria Math" w:cs="Arial"/>
          <w:sz w:val="22"/>
          <w:szCs w:val="22"/>
          <w:lang w:val="pt-BR"/>
        </w:rPr>
        <w:t>Onde:</w:t>
      </w:r>
    </w:p>
    <w:p>
      <w:pPr>
        <w:pStyle w:val="6"/>
        <w:ind w:left="440" w:leftChars="200" w:right="268" w:rightChars="122" w:firstLine="0" w:firstLineChars="0"/>
        <w:rPr>
          <w:rFonts w:hint="default" w:ascii="Arial" w:hAnsi="Arial" w:cs="Arial"/>
          <w:sz w:val="22"/>
          <w:szCs w:val="22"/>
        </w:rPr>
      </w:pPr>
      <w:r>
        <w:rPr>
          <w:rFonts w:hint="default" w:ascii="Arial" w:hAnsi="Arial" w:cs="Arial"/>
          <w:sz w:val="22"/>
          <w:szCs w:val="22"/>
        </w:rPr>
        <w:t>AC = Ativo Circulante;</w:t>
      </w:r>
    </w:p>
    <w:p>
      <w:pPr>
        <w:pStyle w:val="6"/>
        <w:spacing w:before="1"/>
        <w:ind w:left="440" w:leftChars="200" w:right="268" w:rightChars="122" w:firstLine="0" w:firstLineChars="0"/>
        <w:rPr>
          <w:rFonts w:hint="default" w:ascii="Arial" w:hAnsi="Arial" w:cs="Arial"/>
          <w:sz w:val="22"/>
          <w:szCs w:val="22"/>
        </w:rPr>
      </w:pPr>
      <w:r>
        <w:rPr>
          <w:rFonts w:hint="default" w:ascii="Arial" w:hAnsi="Arial" w:cs="Arial"/>
          <w:sz w:val="22"/>
          <w:szCs w:val="22"/>
        </w:rPr>
        <w:t>RLP = Realizável a Longo Prazo; PC = Passivo Circulante;</w:t>
      </w:r>
    </w:p>
    <w:p>
      <w:pPr>
        <w:pStyle w:val="6"/>
        <w:ind w:left="440" w:leftChars="200" w:right="268" w:rightChars="122" w:firstLine="0" w:firstLineChars="0"/>
        <w:rPr>
          <w:rFonts w:hint="default" w:ascii="Arial" w:hAnsi="Arial" w:cs="Arial"/>
          <w:sz w:val="22"/>
          <w:szCs w:val="22"/>
        </w:rPr>
      </w:pPr>
      <w:r>
        <w:rPr>
          <w:rFonts w:hint="default" w:ascii="Arial" w:hAnsi="Arial" w:cs="Arial"/>
          <w:sz w:val="22"/>
          <w:szCs w:val="22"/>
        </w:rPr>
        <w:t>PNC = Passivo Não Circulante.</w:t>
      </w:r>
    </w:p>
    <w:p>
      <w:pPr>
        <w:pStyle w:val="6"/>
        <w:ind w:left="440" w:leftChars="200" w:right="268" w:rightChars="122" w:firstLine="0" w:firstLineChars="0"/>
        <w:rPr>
          <w:rFonts w:hint="default" w:ascii="Arial" w:hAnsi="Arial" w:cs="Arial"/>
          <w:sz w:val="22"/>
          <w:szCs w:val="22"/>
        </w:rPr>
      </w:pPr>
    </w:p>
    <w:p>
      <w:pPr>
        <w:pStyle w:val="19"/>
        <w:numPr>
          <w:ilvl w:val="0"/>
          <w:numId w:val="10"/>
        </w:numPr>
        <w:tabs>
          <w:tab w:val="left" w:pos="157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9"/>
        <w:numPr>
          <w:ilvl w:val="0"/>
          <w:numId w:val="0"/>
        </w:numPr>
        <w:tabs>
          <w:tab w:val="left" w:pos="1570"/>
        </w:tabs>
        <w:spacing w:before="0" w:after="0" w:line="240" w:lineRule="auto"/>
        <w:ind w:left="440" w:leftChars="200" w:right="268" w:rightChars="122" w:firstLine="0" w:firstLineChars="0"/>
        <w:jc w:val="left"/>
        <w:rPr>
          <w:rFonts w:hint="default" w:ascii="Arial" w:hAnsi="Arial" w:cs="Arial"/>
          <w:sz w:val="22"/>
          <w:szCs w:val="22"/>
          <w:u w:val="single"/>
        </w:rPr>
      </w:pPr>
    </w:p>
    <w:p>
      <w:pPr>
        <w:ind w:left="440" w:leftChars="200" w:right="268" w:rightChars="122" w:firstLine="0" w:firstLineChars="0"/>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p>
    <w:p>
      <w:pPr>
        <w:pStyle w:val="19"/>
        <w:numPr>
          <w:ilvl w:val="0"/>
          <w:numId w:val="0"/>
        </w:numPr>
        <w:tabs>
          <w:tab w:val="left" w:pos="1570"/>
        </w:tabs>
        <w:spacing w:before="0" w:after="0" w:line="240" w:lineRule="auto"/>
        <w:ind w:left="440" w:leftChars="200" w:right="268" w:rightChars="122" w:firstLine="0" w:firstLineChars="0"/>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PC + PNC</w:t>
      </w:r>
    </w:p>
    <w:p>
      <w:pPr>
        <w:spacing w:after="0"/>
        <w:ind w:left="440" w:leftChars="200" w:right="268" w:rightChars="122" w:firstLine="0" w:firstLineChars="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440" w:leftChars="200" w:right="268" w:rightChars="122" w:firstLine="0" w:firstLineChars="0"/>
        <w:rPr>
          <w:rFonts w:hint="default" w:ascii="Arial" w:hAnsi="Arial" w:eastAsia="Cambria Math" w:cs="Arial"/>
          <w:sz w:val="22"/>
          <w:szCs w:val="22"/>
          <w:lang w:val="pt-BR"/>
        </w:rPr>
      </w:pPr>
    </w:p>
    <w:p>
      <w:pPr>
        <w:pStyle w:val="6"/>
        <w:ind w:left="440" w:leftChars="200" w:right="268" w:rightChars="122" w:firstLine="0" w:firstLineChars="0"/>
        <w:rPr>
          <w:rFonts w:hint="default" w:ascii="Arial" w:hAnsi="Arial" w:cs="Arial"/>
          <w:sz w:val="22"/>
          <w:szCs w:val="22"/>
        </w:rPr>
      </w:pPr>
      <w:r>
        <w:rPr>
          <w:rFonts w:hint="default" w:ascii="Arial" w:hAnsi="Arial" w:cs="Arial"/>
          <w:sz w:val="22"/>
          <w:szCs w:val="22"/>
        </w:rPr>
        <w:t>AT = Ativo Total;</w:t>
      </w:r>
    </w:p>
    <w:p>
      <w:pPr>
        <w:pStyle w:val="6"/>
        <w:ind w:left="440" w:leftChars="200" w:right="268" w:rightChars="122" w:firstLine="0" w:firstLineChars="0"/>
        <w:rPr>
          <w:rFonts w:hint="default" w:ascii="Arial" w:hAnsi="Arial" w:cs="Arial"/>
          <w:sz w:val="22"/>
          <w:szCs w:val="22"/>
        </w:rPr>
      </w:pPr>
      <w:r>
        <w:rPr>
          <w:rFonts w:hint="default" w:ascii="Arial" w:hAnsi="Arial" w:cs="Arial"/>
          <w:sz w:val="22"/>
          <w:szCs w:val="22"/>
        </w:rPr>
        <w:t>PC = Passivo Circulante;</w:t>
      </w:r>
    </w:p>
    <w:p>
      <w:pPr>
        <w:pStyle w:val="6"/>
        <w:ind w:left="440" w:leftChars="200" w:right="268" w:rightChars="122" w:firstLine="0" w:firstLineChars="0"/>
        <w:rPr>
          <w:rFonts w:hint="default" w:ascii="Arial" w:hAnsi="Arial" w:cs="Arial"/>
          <w:sz w:val="22"/>
          <w:szCs w:val="22"/>
        </w:rPr>
      </w:pPr>
      <w:r>
        <w:rPr>
          <w:rFonts w:hint="default" w:ascii="Arial" w:hAnsi="Arial" w:cs="Arial"/>
          <w:sz w:val="22"/>
          <w:szCs w:val="22"/>
        </w:rPr>
        <w:t>PNC = Passivo Não Circulante.</w:t>
      </w:r>
    </w:p>
    <w:p>
      <w:pPr>
        <w:pStyle w:val="6"/>
        <w:ind w:left="440" w:leftChars="200" w:right="268" w:rightChars="122" w:firstLine="0" w:firstLineChars="0"/>
        <w:rPr>
          <w:rFonts w:hint="default" w:ascii="Arial" w:hAnsi="Arial" w:cs="Arial"/>
          <w:sz w:val="22"/>
          <w:szCs w:val="22"/>
        </w:rPr>
      </w:pPr>
    </w:p>
    <w:p>
      <w:pPr>
        <w:pStyle w:val="19"/>
        <w:numPr>
          <w:ilvl w:val="0"/>
          <w:numId w:val="10"/>
        </w:numPr>
        <w:tabs>
          <w:tab w:val="left" w:pos="1556"/>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9"/>
        <w:numPr>
          <w:ilvl w:val="0"/>
          <w:numId w:val="0"/>
        </w:numPr>
        <w:tabs>
          <w:tab w:val="left" w:pos="1556"/>
        </w:tabs>
        <w:spacing w:before="0" w:after="0" w:line="240" w:lineRule="auto"/>
        <w:ind w:left="440" w:leftChars="200" w:right="268" w:rightChars="122" w:firstLine="0" w:firstLineChars="0"/>
        <w:jc w:val="left"/>
        <w:rPr>
          <w:rFonts w:hint="default" w:ascii="Arial" w:hAnsi="Arial" w:cs="Arial"/>
          <w:sz w:val="22"/>
          <w:szCs w:val="22"/>
          <w:u w:val="single"/>
        </w:rPr>
      </w:pPr>
    </w:p>
    <w:p>
      <w:pPr>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6"/>
        <w:spacing w:before="110"/>
        <w:ind w:left="440" w:leftChars="200" w:right="268" w:rightChars="122" w:firstLine="0" w:firstLineChars="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6"/>
        <w:spacing w:before="110"/>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AC = Ativo Circulante;</w:t>
      </w:r>
    </w:p>
    <w:p>
      <w:pPr>
        <w:pStyle w:val="6"/>
        <w:spacing w:before="110"/>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PC = Passivo Circulante.</w:t>
      </w:r>
    </w:p>
    <w:p>
      <w:pPr>
        <w:pStyle w:val="6"/>
        <w:spacing w:before="1"/>
        <w:ind w:left="440" w:leftChars="200" w:right="268" w:rightChars="122" w:firstLine="0" w:firstLineChars="0"/>
        <w:jc w:val="left"/>
        <w:rPr>
          <w:rFonts w:hint="default" w:ascii="Arial" w:hAnsi="Arial" w:cs="Arial"/>
          <w:sz w:val="22"/>
          <w:szCs w:val="22"/>
        </w:rPr>
      </w:pPr>
    </w:p>
    <w:p>
      <w:pPr>
        <w:pStyle w:val="19"/>
        <w:numPr>
          <w:ilvl w:val="0"/>
          <w:numId w:val="9"/>
        </w:numPr>
        <w:tabs>
          <w:tab w:val="left" w:pos="110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9"/>
        <w:numPr>
          <w:ilvl w:val="0"/>
          <w:numId w:val="0"/>
        </w:numPr>
        <w:tabs>
          <w:tab w:val="left" w:pos="1100"/>
        </w:tabs>
        <w:spacing w:before="0" w:after="0" w:line="240" w:lineRule="auto"/>
        <w:ind w:left="440" w:leftChars="200" w:right="268" w:rightChars="122" w:firstLine="0" w:firstLineChars="0"/>
        <w:jc w:val="both"/>
        <w:rPr>
          <w:rFonts w:hint="default" w:ascii="Arial" w:hAnsi="Arial" w:cs="Arial"/>
          <w:sz w:val="22"/>
          <w:szCs w:val="22"/>
        </w:rPr>
      </w:pPr>
    </w:p>
    <w:p>
      <w:pPr>
        <w:pStyle w:val="19"/>
        <w:numPr>
          <w:ilvl w:val="0"/>
          <w:numId w:val="9"/>
        </w:numPr>
        <w:tabs>
          <w:tab w:val="left" w:pos="110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b/>
          <w:sz w:val="22"/>
          <w:szCs w:val="22"/>
        </w:rPr>
      </w:pPr>
      <w:r>
        <w:rPr>
          <w:rFonts w:hint="default" w:cs="Arial"/>
          <w:spacing w:val="-1"/>
          <w:sz w:val="22"/>
          <w:szCs w:val="22"/>
          <w:lang w:val="pt-BR"/>
        </w:rPr>
        <w:t>Outras</w:t>
      </w:r>
      <w:r>
        <w:rPr>
          <w:rFonts w:hint="default" w:ascii="Arial" w:hAnsi="Arial" w:cs="Arial"/>
          <w:spacing w:val="-1"/>
          <w:sz w:val="22"/>
          <w:szCs w:val="22"/>
        </w:rPr>
        <w:t xml:space="preserve"> </w:t>
      </w:r>
      <w:r>
        <w:rPr>
          <w:rFonts w:hint="default" w:ascii="Arial" w:hAnsi="Arial" w:cs="Arial"/>
          <w:b/>
          <w:sz w:val="22"/>
          <w:szCs w:val="22"/>
        </w:rPr>
        <w:t>DECLARAÇÕES</w:t>
      </w:r>
      <w:r>
        <w:rPr>
          <w:rFonts w:hint="default" w:cs="Arial"/>
          <w:b/>
          <w:sz w:val="22"/>
          <w:szCs w:val="22"/>
          <w:lang w:val="pt-BR"/>
        </w:rPr>
        <w:t xml:space="preserve"> e COMPROVAÇÕES</w:t>
      </w:r>
      <w:r>
        <w:rPr>
          <w:rFonts w:hint="default" w:ascii="Arial" w:hAnsi="Arial" w:cs="Arial"/>
          <w:b/>
          <w:sz w:val="22"/>
          <w:szCs w:val="22"/>
        </w:rPr>
        <w:t>:</w:t>
      </w:r>
    </w:p>
    <w:p>
      <w:pPr>
        <w:pStyle w:val="6"/>
        <w:ind w:left="440" w:leftChars="200" w:right="268" w:rightChars="122" w:firstLine="0" w:firstLineChars="0"/>
        <w:jc w:val="both"/>
        <w:rPr>
          <w:rFonts w:hint="default" w:ascii="Arial" w:hAnsi="Arial" w:cs="Arial"/>
          <w:b/>
          <w:sz w:val="22"/>
          <w:szCs w:val="22"/>
        </w:rPr>
      </w:pPr>
    </w:p>
    <w:p>
      <w:pPr>
        <w:pStyle w:val="19"/>
        <w:numPr>
          <w:ilvl w:val="0"/>
          <w:numId w:val="11"/>
        </w:numPr>
        <w:tabs>
          <w:tab w:val="left" w:pos="1288"/>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9"/>
        <w:numPr>
          <w:ilvl w:val="0"/>
          <w:numId w:val="11"/>
        </w:numPr>
        <w:tabs>
          <w:tab w:val="left" w:pos="1288"/>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X</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9"/>
        <w:numPr>
          <w:ilvl w:val="0"/>
          <w:numId w:val="11"/>
        </w:numPr>
        <w:tabs>
          <w:tab w:val="left" w:pos="1288"/>
          <w:tab w:val="left" w:pos="1289"/>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XI</w:t>
      </w:r>
      <w:r>
        <w:rPr>
          <w:rFonts w:hint="default" w:ascii="Arial" w:hAnsi="Arial" w:cs="Arial"/>
          <w:sz w:val="22"/>
          <w:szCs w:val="22"/>
        </w:rPr>
        <w:t xml:space="preserve">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6"/>
        <w:spacing w:before="1"/>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6"/>
        <w:ind w:left="440" w:leftChars="200" w:right="268" w:rightChars="122" w:firstLine="0" w:firstLineChars="0"/>
        <w:rPr>
          <w:rFonts w:hint="default" w:ascii="Arial" w:hAnsi="Arial" w:cs="Arial"/>
          <w:sz w:val="22"/>
          <w:szCs w:val="22"/>
        </w:rPr>
      </w:pPr>
    </w:p>
    <w:p>
      <w:pPr>
        <w:pStyle w:val="19"/>
        <w:numPr>
          <w:ilvl w:val="1"/>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acompanhada do respectivo original para ser autenticada por membro da Comissão Permanente de Licitação - CPEL, 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6"/>
        <w:ind w:left="440" w:leftChars="200" w:right="268" w:rightChars="122" w:firstLine="0" w:firstLineChars="0"/>
        <w:rPr>
          <w:rFonts w:hint="default" w:ascii="Arial" w:hAnsi="Arial" w:cs="Arial"/>
          <w:sz w:val="22"/>
          <w:szCs w:val="22"/>
        </w:rPr>
      </w:pPr>
    </w:p>
    <w:p>
      <w:pPr>
        <w:pStyle w:val="19"/>
        <w:numPr>
          <w:ilvl w:val="2"/>
          <w:numId w:val="1"/>
        </w:numPr>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Rejeitada a documentação de habilitação, a CPEL 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6"/>
        <w:spacing w:before="1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6"/>
        <w:spacing w:before="10"/>
        <w:ind w:left="440" w:leftChars="200" w:right="268" w:rightChars="122" w:firstLine="0" w:firstLineChars="0"/>
        <w:rPr>
          <w:rFonts w:hint="default" w:ascii="Arial" w:hAnsi="Arial" w:cs="Arial"/>
          <w:sz w:val="22"/>
          <w:szCs w:val="22"/>
        </w:rPr>
      </w:pPr>
    </w:p>
    <w:p>
      <w:pPr>
        <w:pStyle w:val="19"/>
        <w:numPr>
          <w:ilvl w:val="0"/>
          <w:numId w:val="12"/>
        </w:numPr>
        <w:tabs>
          <w:tab w:val="left" w:pos="1292"/>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9"/>
        <w:numPr>
          <w:ilvl w:val="0"/>
          <w:numId w:val="12"/>
        </w:numPr>
        <w:tabs>
          <w:tab w:val="left" w:pos="1292"/>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6"/>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pela Comissão Permanente de Licitação – CPEL,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6"/>
        <w:ind w:left="440" w:leftChars="200" w:right="268" w:rightChars="122" w:firstLine="0" w:firstLineChars="0"/>
        <w:rPr>
          <w:rFonts w:hint="default" w:ascii="Arial" w:hAnsi="Arial" w:cs="Arial"/>
          <w:sz w:val="22"/>
          <w:szCs w:val="22"/>
        </w:rPr>
      </w:pPr>
    </w:p>
    <w:p>
      <w:pPr>
        <w:pStyle w:val="19"/>
        <w:keepNext w:val="0"/>
        <w:keepLines w:val="0"/>
        <w:pageBreakBefore w:val="0"/>
        <w:widowControl w:val="0"/>
        <w:numPr>
          <w:ilvl w:val="2"/>
          <w:numId w:val="1"/>
        </w:numPr>
        <w:tabs>
          <w:tab w:val="left" w:pos="2206"/>
          <w:tab w:val="left" w:pos="2610"/>
          <w:tab w:val="left" w:pos="3480"/>
          <w:tab w:val="left" w:pos="4473"/>
          <w:tab w:val="left" w:pos="6357"/>
          <w:tab w:val="left" w:pos="6868"/>
          <w:tab w:val="left" w:pos="7914"/>
          <w:tab w:val="left" w:pos="8959"/>
        </w:tabs>
        <w:kinsoku/>
        <w:wordWrap/>
        <w:overflowPunct/>
        <w:topLinePunct w:val="0"/>
        <w:autoSpaceDE w:val="0"/>
        <w:autoSpaceDN w:val="0"/>
        <w:bidi w:val="0"/>
        <w:adjustRightInd/>
        <w:snapToGrid/>
        <w:spacing w:before="0" w:after="0" w:line="240" w:lineRule="auto"/>
        <w:ind w:left="440" w:leftChars="200" w:right="0" w:rightChars="0" w:firstLine="0" w:firstLineChars="0"/>
        <w:jc w:val="both"/>
        <w:textAlignment w:val="auto"/>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CPEL</w:t>
      </w:r>
      <w:r>
        <w:rPr>
          <w:rFonts w:hint="default" w:ascii="Arial" w:hAnsi="Arial" w:cs="Arial"/>
          <w:sz w:val="22"/>
          <w:szCs w:val="22"/>
        </w:rPr>
        <w:tab/>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6"/>
        <w:keepNext w:val="0"/>
        <w:keepLines w:val="0"/>
        <w:pageBreakBefore w:val="0"/>
        <w:widowControl w:val="0"/>
        <w:kinsoku/>
        <w:wordWrap/>
        <w:overflowPunct/>
        <w:topLinePunct w:val="0"/>
        <w:autoSpaceDE w:val="0"/>
        <w:autoSpaceDN w:val="0"/>
        <w:bidi w:val="0"/>
        <w:adjustRightInd/>
        <w:snapToGrid/>
        <w:spacing w:before="0"/>
        <w:ind w:left="440" w:leftChars="200" w:right="0" w:rightChars="0" w:firstLine="0" w:firstLineChars="0"/>
        <w:jc w:val="both"/>
        <w:textAlignment w:val="auto"/>
        <w:rPr>
          <w:rFonts w:hint="default" w:ascii="Arial" w:hAnsi="Arial" w:cs="Arial"/>
          <w:sz w:val="22"/>
          <w:szCs w:val="22"/>
        </w:rPr>
      </w:pPr>
    </w:p>
    <w:p>
      <w:pPr>
        <w:pStyle w:val="19"/>
        <w:keepNext w:val="0"/>
        <w:keepLines w:val="0"/>
        <w:pageBreakBefore w:val="0"/>
        <w:widowControl w:val="0"/>
        <w:numPr>
          <w:ilvl w:val="2"/>
          <w:numId w:val="1"/>
        </w:numPr>
        <w:tabs>
          <w:tab w:val="left" w:pos="2138"/>
        </w:tabs>
        <w:kinsoku/>
        <w:wordWrap/>
        <w:overflowPunct/>
        <w:topLinePunct w:val="0"/>
        <w:autoSpaceDE w:val="0"/>
        <w:autoSpaceDN w:val="0"/>
        <w:bidi w:val="0"/>
        <w:adjustRightInd/>
        <w:snapToGrid/>
        <w:spacing w:before="0" w:after="0" w:line="240" w:lineRule="auto"/>
        <w:ind w:left="440" w:leftChars="200" w:right="0" w:rightChars="0" w:firstLine="0" w:firstLineChars="0"/>
        <w:jc w:val="both"/>
        <w:textAlignment w:val="auto"/>
        <w:rPr>
          <w:rFonts w:hint="default" w:ascii="Arial" w:hAnsi="Arial" w:cs="Arial"/>
          <w:sz w:val="22"/>
          <w:szCs w:val="22"/>
        </w:rPr>
      </w:pPr>
      <w:r>
        <w:rPr>
          <w:rFonts w:hint="default" w:ascii="Arial" w:hAnsi="Arial" w:cs="Arial"/>
          <w:sz w:val="22"/>
          <w:szCs w:val="22"/>
        </w:rPr>
        <w:t>Nesse momento a CPEL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6"/>
        <w:keepNext w:val="0"/>
        <w:keepLines w:val="0"/>
        <w:pageBreakBefore w:val="0"/>
        <w:widowControl w:val="0"/>
        <w:kinsoku/>
        <w:wordWrap/>
        <w:overflowPunct/>
        <w:topLinePunct w:val="0"/>
        <w:autoSpaceDE w:val="0"/>
        <w:autoSpaceDN w:val="0"/>
        <w:bidi w:val="0"/>
        <w:adjustRightInd/>
        <w:snapToGrid/>
        <w:spacing w:before="0"/>
        <w:ind w:left="440" w:leftChars="200" w:right="0" w:rightChars="0" w:firstLine="0" w:firstLineChars="0"/>
        <w:jc w:val="both"/>
        <w:textAlignment w:val="auto"/>
        <w:rPr>
          <w:rFonts w:hint="default" w:ascii="Arial" w:hAnsi="Arial" w:cs="Arial"/>
          <w:sz w:val="22"/>
          <w:szCs w:val="22"/>
        </w:rPr>
      </w:pPr>
    </w:p>
    <w:p>
      <w:pPr>
        <w:pStyle w:val="19"/>
        <w:keepNext w:val="0"/>
        <w:keepLines w:val="0"/>
        <w:pageBreakBefore w:val="0"/>
        <w:widowControl w:val="0"/>
        <w:numPr>
          <w:ilvl w:val="2"/>
          <w:numId w:val="1"/>
        </w:numPr>
        <w:tabs>
          <w:tab w:val="left" w:pos="2206"/>
        </w:tabs>
        <w:kinsoku/>
        <w:wordWrap/>
        <w:overflowPunct/>
        <w:topLinePunct w:val="0"/>
        <w:autoSpaceDE w:val="0"/>
        <w:autoSpaceDN w:val="0"/>
        <w:bidi w:val="0"/>
        <w:adjustRightInd/>
        <w:snapToGrid/>
        <w:spacing w:before="0" w:after="0" w:line="240" w:lineRule="auto"/>
        <w:ind w:left="440" w:leftChars="200" w:right="0" w:rightChars="0" w:firstLine="0" w:firstLineChars="0"/>
        <w:jc w:val="both"/>
        <w:textAlignment w:val="auto"/>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6"/>
        <w:keepNext w:val="0"/>
        <w:keepLines w:val="0"/>
        <w:pageBreakBefore w:val="0"/>
        <w:widowControl w:val="0"/>
        <w:kinsoku/>
        <w:wordWrap/>
        <w:overflowPunct/>
        <w:topLinePunct w:val="0"/>
        <w:autoSpaceDE w:val="0"/>
        <w:autoSpaceDN w:val="0"/>
        <w:bidi w:val="0"/>
        <w:adjustRightInd/>
        <w:snapToGrid/>
        <w:spacing w:before="0"/>
        <w:ind w:left="0" w:leftChars="0" w:right="0" w:rightChars="0" w:firstLine="0" w:firstLineChars="0"/>
        <w:textAlignment w:val="auto"/>
        <w:rPr>
          <w:rFonts w:hint="default" w:ascii="Arial" w:hAnsi="Arial" w:cs="Arial"/>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Será concedido o prazo de 5 (cinco)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da Comissão Permanente de Licitação,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pela</w:t>
      </w:r>
      <w:r>
        <w:rPr>
          <w:rFonts w:hint="default" w:ascii="Arial" w:hAnsi="Arial" w:cs="Arial"/>
          <w:spacing w:val="-7"/>
          <w:sz w:val="22"/>
          <w:szCs w:val="22"/>
        </w:rPr>
        <w:t xml:space="preserve"> </w:t>
      </w:r>
      <w:r>
        <w:rPr>
          <w:rFonts w:hint="default" w:ascii="Arial" w:hAnsi="Arial" w:cs="Arial"/>
          <w:sz w:val="22"/>
          <w:szCs w:val="22"/>
        </w:rPr>
        <w:t>CPEL,</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6"/>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Os recursos serão decididos em até 5 (cinco) dias úteis, contados do encerramento do prazo para a apresentação de</w:t>
      </w:r>
      <w:r>
        <w:rPr>
          <w:rFonts w:hint="default" w:ascii="Arial" w:hAnsi="Arial" w:cs="Arial"/>
          <w:spacing w:val="-12"/>
          <w:sz w:val="22"/>
          <w:szCs w:val="22"/>
        </w:rPr>
        <w:t xml:space="preserve"> </w:t>
      </w:r>
      <w:r>
        <w:rPr>
          <w:rFonts w:hint="default" w:ascii="Arial" w:hAnsi="Arial" w:cs="Arial"/>
          <w:sz w:val="22"/>
          <w:szCs w:val="22"/>
        </w:rPr>
        <w:t>contrarrazões.</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6"/>
          <w:rFonts w:hint="default" w:ascii="Arial" w:hAnsi="Arial" w:cs="Arial"/>
          <w:color w:val="0462C1"/>
          <w:sz w:val="22"/>
          <w:szCs w:val="22"/>
        </w:rPr>
        <w:t>www.code</w:t>
      </w:r>
      <w:r>
        <w:rPr>
          <w:rStyle w:val="16"/>
          <w:rFonts w:hint="default" w:ascii="Arial" w:hAnsi="Arial" w:cs="Arial"/>
          <w:color w:val="0462C1"/>
          <w:sz w:val="22"/>
          <w:szCs w:val="22"/>
          <w:lang w:val="pt-BR"/>
        </w:rPr>
        <w:t>n</w:t>
      </w:r>
      <w:r>
        <w:rPr>
          <w:rStyle w:val="16"/>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6"/>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92"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6"/>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CPEL</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98"/>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6"/>
        <w:spacing w:before="10"/>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6"/>
        <w:ind w:left="440" w:leftChars="200" w:right="268" w:rightChars="122" w:firstLine="0" w:firstLineChars="0"/>
        <w:rPr>
          <w:rFonts w:hint="default" w:ascii="Arial" w:hAnsi="Arial" w:cs="Arial"/>
          <w:b/>
          <w:sz w:val="22"/>
          <w:szCs w:val="22"/>
        </w:rPr>
      </w:pPr>
    </w:p>
    <w:p>
      <w:pPr>
        <w:pStyle w:val="19"/>
        <w:numPr>
          <w:ilvl w:val="2"/>
          <w:numId w:val="1"/>
        </w:numPr>
        <w:tabs>
          <w:tab w:val="left" w:pos="1540"/>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Homologado o procedimento licitatório, o licitante vencedor, através de seu representante legal, será convocado, no prazo de até 05 (cinco) dias úteis contados do recebimento da convocação, para assinar o termo de contrato – Anexo I</w:t>
      </w:r>
      <w:r>
        <w:rPr>
          <w:rFonts w:hint="default" w:cs="Arial"/>
          <w:sz w:val="22"/>
          <w:szCs w:val="22"/>
          <w:lang w:val="pt-BR"/>
        </w:rPr>
        <w:t>V</w:t>
      </w:r>
      <w:r>
        <w:rPr>
          <w:rFonts w:hint="default" w:ascii="Arial" w:hAnsi="Arial" w:cs="Arial"/>
          <w:sz w:val="22"/>
          <w:szCs w:val="22"/>
        </w:rPr>
        <w:t>, sob pena de decadência do direito à contratação.</w:t>
      </w:r>
    </w:p>
    <w:p>
      <w:pPr>
        <w:pStyle w:val="19"/>
        <w:numPr>
          <w:ilvl w:val="0"/>
          <w:numId w:val="0"/>
        </w:numPr>
        <w:tabs>
          <w:tab w:val="left" w:pos="2138"/>
        </w:tabs>
        <w:spacing w:before="1" w:after="0" w:line="240" w:lineRule="auto"/>
        <w:ind w:left="440" w:leftChars="200" w:right="268" w:rightChars="122" w:firstLine="0" w:firstLineChars="0"/>
        <w:jc w:val="both"/>
        <w:rPr>
          <w:rFonts w:hint="default" w:ascii="Arial" w:hAnsi="Arial" w:cs="Arial"/>
          <w:sz w:val="22"/>
          <w:szCs w:val="22"/>
        </w:rPr>
      </w:pPr>
    </w:p>
    <w:p>
      <w:pPr>
        <w:pStyle w:val="6"/>
        <w:spacing w:before="9"/>
        <w:ind w:left="440" w:leftChars="200" w:right="268" w:rightChars="122" w:firstLine="0" w:firstLineChars="0"/>
        <w:rPr>
          <w:rFonts w:hint="default" w:ascii="Arial" w:hAnsi="Arial" w:cs="Arial"/>
          <w:sz w:val="22"/>
          <w:szCs w:val="22"/>
        </w:rPr>
      </w:pPr>
    </w:p>
    <w:p>
      <w:pPr>
        <w:pStyle w:val="19"/>
        <w:numPr>
          <w:ilvl w:val="0"/>
          <w:numId w:val="0"/>
        </w:numPr>
        <w:tabs>
          <w:tab w:val="left" w:pos="2846"/>
        </w:tabs>
        <w:spacing w:before="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18.1.1.1.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6"/>
        <w:spacing w:before="10"/>
        <w:ind w:left="440" w:leftChars="200" w:right="268" w:rightChars="122" w:firstLine="0" w:firstLineChars="0"/>
        <w:rPr>
          <w:rFonts w:hint="default" w:ascii="Arial" w:hAnsi="Arial" w:cs="Arial"/>
          <w:sz w:val="22"/>
          <w:szCs w:val="22"/>
        </w:rPr>
      </w:pPr>
    </w:p>
    <w:p>
      <w:pPr>
        <w:pStyle w:val="19"/>
        <w:numPr>
          <w:ilvl w:val="0"/>
          <w:numId w:val="0"/>
        </w:numPr>
        <w:tabs>
          <w:tab w:val="left" w:pos="2846"/>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lang w:val="pt-BR"/>
        </w:rPr>
        <w:t xml:space="preserve">18.1.1.2.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6"/>
        <w:spacing w:before="10"/>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6"/>
        <w:spacing w:before="11"/>
        <w:ind w:left="440" w:leftChars="200" w:right="268" w:rightChars="122" w:firstLine="0" w:firstLineChars="0"/>
        <w:rPr>
          <w:rFonts w:hint="default" w:ascii="Arial" w:hAnsi="Arial" w:cs="Arial"/>
          <w:sz w:val="22"/>
          <w:szCs w:val="22"/>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6"/>
        <w:spacing w:before="10"/>
        <w:ind w:left="440" w:leftChars="200" w:right="268" w:rightChars="122" w:firstLine="0" w:firstLineChars="0"/>
        <w:rPr>
          <w:rFonts w:hint="default" w:ascii="Arial" w:hAnsi="Arial" w:cs="Arial"/>
          <w:sz w:val="22"/>
          <w:szCs w:val="22"/>
        </w:rPr>
      </w:pPr>
    </w:p>
    <w:p>
      <w:pPr>
        <w:pStyle w:val="2"/>
        <w:numPr>
          <w:ilvl w:val="2"/>
          <w:numId w:val="1"/>
        </w:numPr>
        <w:spacing w:before="0" w:after="0" w:line="240" w:lineRule="auto"/>
        <w:ind w:left="440" w:leftChars="200" w:right="268" w:rightChars="122" w:firstLine="0" w:firstLineChars="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IV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6"/>
        <w:spacing w:before="1"/>
        <w:ind w:left="440" w:leftChars="200" w:right="268" w:rightChars="122" w:firstLine="0" w:firstLineChars="0"/>
        <w:rPr>
          <w:rFonts w:hint="default" w:ascii="Arial" w:hAnsi="Arial" w:cs="Arial"/>
          <w:sz w:val="22"/>
          <w:szCs w:val="22"/>
        </w:rPr>
      </w:pPr>
    </w:p>
    <w:p>
      <w:pPr>
        <w:pStyle w:val="19"/>
        <w:numPr>
          <w:ilvl w:val="1"/>
          <w:numId w:val="1"/>
        </w:numPr>
        <w:tabs>
          <w:tab w:val="left" w:pos="1320"/>
        </w:tabs>
        <w:spacing w:before="0" w:after="0" w:line="240" w:lineRule="auto"/>
        <w:ind w:left="440" w:leftChars="200" w:right="268" w:rightChars="122" w:firstLine="0" w:firstLineChars="0"/>
        <w:jc w:val="left"/>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w:t>
      </w:r>
      <w:r>
        <w:rPr>
          <w:rFonts w:hint="default" w:ascii="Arial" w:hAnsi="Arial" w:cs="Arial"/>
          <w:b/>
          <w:color w:val="000000" w:themeColor="text1"/>
          <w:spacing w:val="-6"/>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GARANTIA</w:t>
      </w:r>
    </w:p>
    <w:p>
      <w:pPr>
        <w:pStyle w:val="6"/>
        <w:ind w:left="440" w:leftChars="200" w:right="268" w:rightChars="122" w:firstLine="0" w:firstLineChars="0"/>
        <w:rPr>
          <w:rFonts w:hint="default" w:ascii="Arial" w:hAnsi="Arial" w:cs="Arial"/>
          <w:b/>
          <w:color w:val="000000" w:themeColor="text1"/>
          <w:sz w:val="22"/>
          <w:szCs w:val="22"/>
          <w14:textFill>
            <w14:solidFill>
              <w14:schemeClr w14:val="tx1"/>
            </w14:solidFill>
          </w14:textFill>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Será exigida prestação de garantia contratual pela Contratada, em valor equivalente a </w:t>
      </w:r>
      <w:r>
        <w:rPr>
          <w:rFonts w:hint="default" w:ascii="Arial" w:hAnsi="Arial" w:cs="Arial"/>
          <w:color w:val="000000" w:themeColor="text1"/>
          <w:sz w:val="22"/>
          <w:szCs w:val="22"/>
          <w:lang w:val="pt-BR"/>
          <w14:textFill>
            <w14:solidFill>
              <w14:schemeClr w14:val="tx1"/>
            </w14:solidFill>
          </w14:textFill>
        </w:rPr>
        <w:t>5</w:t>
      </w:r>
      <w:r>
        <w:rPr>
          <w:rFonts w:hint="default" w:ascii="Arial" w:hAnsi="Arial" w:cs="Arial"/>
          <w:color w:val="000000" w:themeColor="text1"/>
          <w:sz w:val="22"/>
          <w:szCs w:val="22"/>
          <w14:textFill>
            <w14:solidFill>
              <w14:schemeClr w14:val="tx1"/>
            </w14:solidFill>
          </w14:textFill>
        </w:rPr>
        <w:t>% (</w:t>
      </w:r>
      <w:r>
        <w:rPr>
          <w:rFonts w:hint="default" w:ascii="Arial" w:hAnsi="Arial" w:cs="Arial"/>
          <w:color w:val="000000" w:themeColor="text1"/>
          <w:sz w:val="22"/>
          <w:szCs w:val="22"/>
          <w:lang w:val="pt-BR"/>
          <w14:textFill>
            <w14:solidFill>
              <w14:schemeClr w14:val="tx1"/>
            </w14:solidFill>
          </w14:textFill>
        </w:rPr>
        <w:t>cinco</w:t>
      </w:r>
      <w:r>
        <w:rPr>
          <w:rFonts w:hint="default" w:ascii="Arial" w:hAnsi="Arial" w:cs="Arial"/>
          <w:color w:val="000000" w:themeColor="text1"/>
          <w:sz w:val="22"/>
          <w:szCs w:val="22"/>
          <w14:textFill>
            <w14:solidFill>
              <w14:schemeClr w14:val="tx1"/>
            </w14:solidFill>
          </w14:textFill>
        </w:rPr>
        <w:t xml:space="preserve"> por cento) do valor do Contrato, em até 10 (dez) dias úteis após a assinatura do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p>
    <w:p>
      <w:pPr>
        <w:pStyle w:val="6"/>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prazo previsto para a apresentação da garantia poderá ser prorrogado,</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igual</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período,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solicitado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 durante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o respectivo transcurso, e desde que ocorra motivo justificado e aceito pela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w:t>
      </w:r>
    </w:p>
    <w:p>
      <w:pPr>
        <w:pStyle w:val="6"/>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19"/>
        <w:numPr>
          <w:ilvl w:val="2"/>
          <w:numId w:val="1"/>
        </w:numPr>
        <w:spacing w:before="1"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não recolhimento da garantia no prazo estabelecido no neste item caracteriza inadimplemento contatual, sujeitando a Contratada às sanções previstas neste Edital e seus</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6"/>
        <w:spacing w:before="11"/>
        <w:ind w:left="440" w:leftChars="200" w:right="268" w:rightChars="122" w:firstLine="0" w:firstLineChars="0"/>
        <w:rPr>
          <w:rFonts w:hint="default" w:ascii="Arial" w:hAnsi="Arial" w:cs="Arial"/>
          <w:color w:val="000000" w:themeColor="text1"/>
          <w:sz w:val="22"/>
          <w:szCs w:val="22"/>
          <w14:textFill>
            <w14:solidFill>
              <w14:schemeClr w14:val="tx1"/>
            </w14:solidFill>
          </w14:textFill>
        </w:rPr>
      </w:pPr>
    </w:p>
    <w:p>
      <w:pPr>
        <w:pStyle w:val="19"/>
        <w:numPr>
          <w:ilvl w:val="2"/>
          <w:numId w:val="1"/>
        </w:numPr>
        <w:spacing w:before="0" w:after="0" w:line="240" w:lineRule="auto"/>
        <w:ind w:left="440" w:leftChars="200" w:right="268" w:rightChars="122"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demais regras sobre a garantia exigida constam do Anexo I</w:t>
      </w:r>
      <w:r>
        <w:rPr>
          <w:rFonts w:hint="default" w:cs="Arial"/>
          <w:color w:val="000000" w:themeColor="text1"/>
          <w:sz w:val="22"/>
          <w:szCs w:val="22"/>
          <w:lang w:val="pt-BR"/>
          <w14:textFill>
            <w14:solidFill>
              <w14:schemeClr w14:val="tx1"/>
            </w14:solidFill>
          </w14:textFill>
        </w:rPr>
        <w:t>V</w:t>
      </w:r>
      <w:r>
        <w:rPr>
          <w:rFonts w:hint="default" w:ascii="Arial" w:hAnsi="Arial" w:cs="Arial"/>
          <w:color w:val="000000" w:themeColor="text1"/>
          <w:sz w:val="22"/>
          <w:szCs w:val="22"/>
          <w14:textFill>
            <w14:solidFill>
              <w14:schemeClr w14:val="tx1"/>
            </w14:solidFill>
          </w14:textFill>
        </w:rPr>
        <w:t xml:space="preserve"> - Minuta do Contrato deste Edital.</w:t>
      </w:r>
    </w:p>
    <w:p>
      <w:pPr>
        <w:pStyle w:val="6"/>
        <w:spacing w:before="11"/>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6"/>
        <w:spacing w:before="10"/>
        <w:ind w:left="440" w:leftChars="200" w:right="268" w:rightChars="122" w:firstLine="0" w:firstLineChars="0"/>
        <w:rPr>
          <w:rFonts w:hint="default" w:ascii="Arial" w:hAnsi="Arial" w:cs="Arial"/>
          <w:b/>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p>
    <w:p>
      <w:pPr>
        <w:pStyle w:val="6"/>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6"/>
        <w:spacing w:before="10"/>
        <w:ind w:left="440" w:leftChars="200" w:right="268" w:rightChars="122" w:firstLine="0" w:firstLineChars="0"/>
        <w:rPr>
          <w:rFonts w:hint="default" w:ascii="Arial" w:hAnsi="Arial" w:cs="Arial"/>
          <w:sz w:val="22"/>
          <w:szCs w:val="22"/>
        </w:rPr>
      </w:pPr>
    </w:p>
    <w:p>
      <w:pPr>
        <w:pStyle w:val="19"/>
        <w:numPr>
          <w:ilvl w:val="1"/>
          <w:numId w:val="1"/>
        </w:numPr>
        <w:tabs>
          <w:tab w:val="left" w:pos="1430"/>
        </w:tabs>
        <w:spacing w:before="92"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6"/>
        <w:spacing w:before="10"/>
        <w:ind w:left="440" w:leftChars="200" w:right="268" w:rightChars="122" w:firstLine="0" w:firstLineChars="0"/>
        <w:rPr>
          <w:rFonts w:hint="default" w:ascii="Arial" w:hAnsi="Arial" w:cs="Arial"/>
          <w:sz w:val="22"/>
          <w:szCs w:val="22"/>
        </w:rPr>
      </w:pPr>
    </w:p>
    <w:p>
      <w:pPr>
        <w:pStyle w:val="2"/>
        <w:numPr>
          <w:ilvl w:val="0"/>
          <w:numId w:val="1"/>
        </w:numPr>
        <w:tabs>
          <w:tab w:val="left" w:pos="1114"/>
        </w:tabs>
        <w:spacing w:before="92"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9"/>
        <w:numPr>
          <w:ilvl w:val="1"/>
          <w:numId w:val="1"/>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9"/>
        <w:numPr>
          <w:ilvl w:val="1"/>
          <w:numId w:val="1"/>
        </w:numPr>
        <w:tabs>
          <w:tab w:val="left" w:pos="1430"/>
        </w:tabs>
        <w:spacing w:before="23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9"/>
        <w:numPr>
          <w:ilvl w:val="1"/>
          <w:numId w:val="1"/>
        </w:numPr>
        <w:tabs>
          <w:tab w:val="left" w:pos="1430"/>
        </w:tabs>
        <w:spacing w:before="229"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9"/>
        <w:numPr>
          <w:ilvl w:val="1"/>
          <w:numId w:val="1"/>
        </w:numPr>
        <w:tabs>
          <w:tab w:val="left" w:pos="1430"/>
        </w:tabs>
        <w:spacing w:before="23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9"/>
        <w:numPr>
          <w:ilvl w:val="1"/>
          <w:numId w:val="1"/>
        </w:numPr>
        <w:tabs>
          <w:tab w:val="left" w:pos="1430"/>
        </w:tabs>
        <w:spacing w:before="231"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sz w:val="22"/>
          <w:szCs w:val="22"/>
        </w:rPr>
        <w:t>Integram o presente</w:t>
      </w:r>
      <w:r>
        <w:rPr>
          <w:rFonts w:hint="default" w:ascii="Arial" w:hAnsi="Arial" w:cs="Arial"/>
          <w:spacing w:val="-2"/>
          <w:sz w:val="22"/>
          <w:szCs w:val="22"/>
        </w:rPr>
        <w:t xml:space="preserve"> </w:t>
      </w:r>
      <w:r>
        <w:rPr>
          <w:rFonts w:hint="default" w:ascii="Arial" w:hAnsi="Arial" w:cs="Arial"/>
          <w:sz w:val="22"/>
          <w:szCs w:val="22"/>
        </w:rPr>
        <w:t>Edital:</w:t>
      </w:r>
    </w:p>
    <w:p>
      <w:pPr>
        <w:pStyle w:val="19"/>
        <w:numPr>
          <w:ilvl w:val="0"/>
          <w:numId w:val="13"/>
        </w:numPr>
        <w:tabs>
          <w:tab w:val="left" w:pos="1441"/>
          <w:tab w:val="left" w:pos="1442"/>
        </w:tabs>
        <w:spacing w:before="0" w:after="0" w:line="271" w:lineRule="auto"/>
        <w:ind w:left="440" w:leftChars="200" w:right="268" w:rightChars="122" w:firstLine="0" w:firstLineChars="0"/>
        <w:jc w:val="left"/>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Termo de Referência;</w:t>
      </w:r>
      <w:r>
        <w:rPr>
          <w:rFonts w:hint="default" w:ascii="Arial" w:hAnsi="Arial" w:cs="Arial"/>
          <w:color w:val="000000" w:themeColor="text1"/>
          <w:sz w:val="22"/>
          <w:szCs w:val="22"/>
          <w14:textFill>
            <w14:solidFill>
              <w14:schemeClr w14:val="tx1"/>
            </w14:solidFill>
          </w14:textFill>
        </w:rPr>
        <w:t xml:space="preserve"> </w:t>
      </w:r>
    </w:p>
    <w:p>
      <w:pPr>
        <w:pStyle w:val="19"/>
        <w:numPr>
          <w:ilvl w:val="0"/>
          <w:numId w:val="13"/>
        </w:numPr>
        <w:tabs>
          <w:tab w:val="left" w:pos="1441"/>
          <w:tab w:val="left" w:pos="1442"/>
        </w:tabs>
        <w:spacing w:before="0" w:after="0" w:line="271" w:lineRule="auto"/>
        <w:ind w:left="440" w:leftChars="200" w:right="268" w:rightChars="122" w:firstLine="0" w:firstLineChars="0"/>
        <w:jc w:val="left"/>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 </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val="0"/>
          <w:bCs/>
          <w:i/>
          <w:color w:val="000000" w:themeColor="text1"/>
          <w:sz w:val="22"/>
          <w:szCs w:val="22"/>
          <w14:textFill>
            <w14:solidFill>
              <w14:schemeClr w14:val="tx1"/>
            </w14:solidFill>
          </w14:textFill>
        </w:rPr>
        <w:t xml:space="preserve">Link </w:t>
      </w:r>
      <w:r>
        <w:rPr>
          <w:rFonts w:hint="default" w:ascii="Arial" w:hAnsi="Arial" w:cs="Arial"/>
          <w:b w:val="0"/>
          <w:bCs/>
          <w:color w:val="000000" w:themeColor="text1"/>
          <w:sz w:val="22"/>
          <w:szCs w:val="22"/>
          <w14:textFill>
            <w14:solidFill>
              <w14:schemeClr w14:val="tx1"/>
            </w14:solidFill>
          </w14:textFill>
        </w:rPr>
        <w:t>contendo:</w:t>
      </w:r>
      <w:r>
        <w:rPr>
          <w:rFonts w:hint="default" w:cs="Arial"/>
          <w:b w:val="0"/>
          <w:bCs/>
          <w:color w:val="000000" w:themeColor="text1"/>
          <w:sz w:val="22"/>
          <w:szCs w:val="22"/>
          <w:lang w:val="pt-BR"/>
          <w14:textFill>
            <w14:solidFill>
              <w14:schemeClr w14:val="tx1"/>
            </w14:solidFill>
          </w14:textFill>
        </w:rPr>
        <w:t xml:space="preserve"> Cronograma de Atividades</w:t>
      </w:r>
      <w:r>
        <w:rPr>
          <w:rFonts w:hint="default" w:cs="Arial"/>
          <w:b/>
          <w:color w:val="000000" w:themeColor="text1"/>
          <w:sz w:val="22"/>
          <w:szCs w:val="22"/>
          <w:lang w:val="pt-BR"/>
          <w14:textFill>
            <w14:solidFill>
              <w14:schemeClr w14:val="tx1"/>
            </w14:solidFill>
          </w14:textFill>
        </w:rPr>
        <w:t xml:space="preserve"> </w:t>
      </w:r>
    </w:p>
    <w:p>
      <w:pPr>
        <w:pStyle w:val="19"/>
        <w:numPr>
          <w:ilvl w:val="0"/>
          <w:numId w:val="13"/>
        </w:numPr>
        <w:tabs>
          <w:tab w:val="left" w:pos="1429"/>
          <w:tab w:val="left" w:pos="1430"/>
        </w:tabs>
        <w:spacing w:before="7" w:after="0" w:line="293" w:lineRule="exact"/>
        <w:ind w:left="440" w:leftChars="200" w:right="268" w:rightChars="122" w:firstLine="0"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D</w:t>
      </w:r>
      <w:r>
        <w:rPr>
          <w:rFonts w:hint="default" w:ascii="Arial" w:hAnsi="Arial" w:cs="Arial"/>
          <w:color w:val="000000" w:themeColor="text1"/>
          <w:sz w:val="22"/>
          <w:szCs w:val="22"/>
          <w:lang w:val="pt-BR"/>
          <w14:textFill>
            <w14:solidFill>
              <w14:schemeClr w14:val="tx1"/>
            </w14:solidFill>
          </w14:textFill>
        </w:rPr>
        <w:t>eclaração de pleno atendimento aos requisitos de habilitação</w:t>
      </w:r>
      <w:r>
        <w:rPr>
          <w:rFonts w:hint="default" w:ascii="Arial" w:hAnsi="Arial" w:cs="Arial"/>
          <w:color w:val="000000" w:themeColor="text1"/>
          <w:sz w:val="22"/>
          <w:szCs w:val="22"/>
          <w14:textFill>
            <w14:solidFill>
              <w14:schemeClr w14:val="tx1"/>
            </w14:solidFill>
          </w14:textFill>
        </w:rPr>
        <w:t>;</w:t>
      </w:r>
    </w:p>
    <w:p>
      <w:pPr>
        <w:pStyle w:val="19"/>
        <w:numPr>
          <w:ilvl w:val="0"/>
          <w:numId w:val="13"/>
        </w:numPr>
        <w:tabs>
          <w:tab w:val="left" w:pos="1429"/>
          <w:tab w:val="left" w:pos="1430"/>
        </w:tabs>
        <w:spacing w:before="0" w:after="0" w:line="292" w:lineRule="exact"/>
        <w:ind w:left="440" w:leftChars="200" w:right="268" w:rightChars="122" w:firstLine="0" w:firstLineChars="0"/>
        <w:jc w:val="left"/>
        <w:rPr>
          <w:rFonts w:hint="default" w:ascii="Arial" w:hAnsi="Arial" w:cs="Arial"/>
          <w:sz w:val="22"/>
          <w:szCs w:val="22"/>
        </w:rPr>
      </w:pPr>
      <w:r>
        <w:rPr>
          <w:rFonts w:hint="default" w:cs="Arial"/>
          <w:b/>
          <w:bCs/>
          <w:sz w:val="22"/>
          <w:szCs w:val="22"/>
          <w:lang w:val="pt-BR"/>
        </w:rPr>
        <w:t>Anexo IV -</w:t>
      </w:r>
      <w:r>
        <w:rPr>
          <w:rFonts w:hint="default" w:cs="Arial"/>
          <w:sz w:val="22"/>
          <w:szCs w:val="22"/>
          <w:lang w:val="pt-BR"/>
        </w:rPr>
        <w:t xml:space="preserve"> </w:t>
      </w:r>
      <w:r>
        <w:rPr>
          <w:rFonts w:hint="default" w:ascii="Arial" w:hAnsi="Arial" w:cs="Arial"/>
          <w:sz w:val="22"/>
          <w:szCs w:val="22"/>
        </w:rPr>
        <w:t>Minuta de</w:t>
      </w:r>
      <w:r>
        <w:rPr>
          <w:rFonts w:hint="default" w:ascii="Arial" w:hAnsi="Arial" w:cs="Arial"/>
          <w:spacing w:val="-3"/>
          <w:sz w:val="22"/>
          <w:szCs w:val="22"/>
        </w:rPr>
        <w:t xml:space="preserve"> </w:t>
      </w:r>
      <w:r>
        <w:rPr>
          <w:rFonts w:hint="default" w:ascii="Arial" w:hAnsi="Arial" w:cs="Arial"/>
          <w:sz w:val="22"/>
          <w:szCs w:val="22"/>
        </w:rPr>
        <w:t>Contrato;</w:t>
      </w:r>
    </w:p>
    <w:p>
      <w:pPr>
        <w:pStyle w:val="19"/>
        <w:numPr>
          <w:ilvl w:val="0"/>
          <w:numId w:val="13"/>
        </w:numPr>
        <w:tabs>
          <w:tab w:val="left" w:pos="1429"/>
          <w:tab w:val="left" w:pos="1430"/>
        </w:tabs>
        <w:spacing w:before="0" w:after="0" w:line="292" w:lineRule="exact"/>
        <w:ind w:left="440" w:leftChars="200" w:right="268" w:rightChars="122" w:firstLine="0" w:firstLineChars="0"/>
        <w:jc w:val="left"/>
        <w:rPr>
          <w:rFonts w:hint="default" w:ascii="Arial" w:hAnsi="Arial" w:cs="Arial"/>
          <w:sz w:val="22"/>
          <w:szCs w:val="22"/>
        </w:rPr>
      </w:pPr>
      <w:r>
        <w:rPr>
          <w:rFonts w:hint="default" w:ascii="Arial" w:hAnsi="Arial" w:cs="Arial"/>
          <w:b/>
          <w:sz w:val="22"/>
          <w:szCs w:val="22"/>
        </w:rPr>
        <w:t xml:space="preserve">Anexo V </w:t>
      </w:r>
      <w:r>
        <w:rPr>
          <w:rFonts w:hint="default" w:ascii="Arial" w:hAnsi="Arial" w:cs="Arial"/>
          <w:sz w:val="22"/>
          <w:szCs w:val="22"/>
        </w:rPr>
        <w:t>– Modelo de Proposta</w:t>
      </w:r>
      <w:r>
        <w:rPr>
          <w:rFonts w:hint="default" w:ascii="Arial" w:hAnsi="Arial" w:cs="Arial"/>
          <w:sz w:val="22"/>
          <w:szCs w:val="22"/>
          <w:lang w:val="pt-BR"/>
        </w:rPr>
        <w:t xml:space="preserve"> Comercial</w:t>
      </w:r>
      <w:r>
        <w:rPr>
          <w:rFonts w:hint="default" w:ascii="Arial" w:hAnsi="Arial" w:cs="Arial"/>
          <w:sz w:val="22"/>
          <w:szCs w:val="22"/>
        </w:rPr>
        <w:t>;</w:t>
      </w:r>
    </w:p>
    <w:p>
      <w:pPr>
        <w:pStyle w:val="19"/>
        <w:numPr>
          <w:ilvl w:val="0"/>
          <w:numId w:val="13"/>
        </w:numPr>
        <w:tabs>
          <w:tab w:val="left" w:pos="1429"/>
          <w:tab w:val="left" w:pos="1430"/>
        </w:tabs>
        <w:spacing w:before="0" w:after="0" w:line="293" w:lineRule="exact"/>
        <w:ind w:left="440" w:leftChars="200" w:right="268" w:rightChars="122" w:firstLine="0" w:firstLineChars="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Anexo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w:t>
      </w:r>
      <w:r>
        <w:rPr>
          <w:rFonts w:hint="default" w:ascii="Arial" w:hAnsi="Arial" w:cs="Arial"/>
          <w:b/>
          <w:sz w:val="22"/>
          <w:szCs w:val="22"/>
        </w:rPr>
        <w:t xml:space="preserve"> </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9"/>
        <w:numPr>
          <w:ilvl w:val="0"/>
          <w:numId w:val="13"/>
        </w:numPr>
        <w:tabs>
          <w:tab w:val="left" w:pos="1429"/>
          <w:tab w:val="left" w:pos="1430"/>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b/>
          <w:sz w:val="22"/>
          <w:szCs w:val="22"/>
        </w:rPr>
        <w:t>Anexo VI</w:t>
      </w:r>
      <w:r>
        <w:rPr>
          <w:rFonts w:hint="default" w:cs="Arial"/>
          <w:b/>
          <w:sz w:val="22"/>
          <w:szCs w:val="22"/>
          <w:lang w:val="pt-BR"/>
        </w:rPr>
        <w:t>I</w:t>
      </w:r>
      <w:r>
        <w:rPr>
          <w:rFonts w:hint="default" w:ascii="Arial" w:hAnsi="Arial" w:cs="Arial"/>
          <w:b w:val="0"/>
          <w:bCs/>
          <w:sz w:val="22"/>
          <w:szCs w:val="22"/>
        </w:rPr>
        <w:t xml:space="preserve"> –</w:t>
      </w:r>
      <w:r>
        <w:rPr>
          <w:rFonts w:hint="default" w:ascii="Arial" w:hAnsi="Arial" w:cs="Arial"/>
          <w:b/>
          <w:sz w:val="22"/>
          <w:szCs w:val="22"/>
        </w:rPr>
        <w:t xml:space="preserve"> </w:t>
      </w:r>
      <w:r>
        <w:rPr>
          <w:rFonts w:hint="default" w:ascii="Arial" w:hAnsi="Arial" w:cs="Arial"/>
          <w:sz w:val="22"/>
          <w:szCs w:val="22"/>
        </w:rPr>
        <w:t>Declaração de conhecimento pleno do local de execução do objeto;</w:t>
      </w:r>
    </w:p>
    <w:p>
      <w:pPr>
        <w:pStyle w:val="19"/>
        <w:numPr>
          <w:ilvl w:val="0"/>
          <w:numId w:val="13"/>
        </w:numPr>
        <w:tabs>
          <w:tab w:val="left" w:pos="1441"/>
          <w:tab w:val="left" w:pos="1442"/>
        </w:tabs>
        <w:spacing w:before="0" w:after="0" w:line="291" w:lineRule="exact"/>
        <w:ind w:left="440" w:leftChars="200" w:right="268" w:rightChars="122" w:firstLine="0" w:firstLineChars="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1"/>
          <w:sz w:val="22"/>
          <w:szCs w:val="22"/>
        </w:rPr>
        <w:t xml:space="preserve"> </w:t>
      </w:r>
      <w:r>
        <w:rPr>
          <w:rFonts w:hint="default" w:ascii="Arial" w:hAnsi="Arial" w:cs="Arial"/>
          <w:b/>
          <w:sz w:val="22"/>
          <w:szCs w:val="22"/>
        </w:rPr>
        <w:t>VII</w:t>
      </w:r>
      <w:r>
        <w:rPr>
          <w:rFonts w:hint="default" w:cs="Arial"/>
          <w:b/>
          <w:sz w:val="22"/>
          <w:szCs w:val="22"/>
          <w:lang w:val="pt-BR"/>
        </w:rPr>
        <w:t>I</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 Atestado de Vista Técnica;</w:t>
      </w:r>
    </w:p>
    <w:p>
      <w:pPr>
        <w:pStyle w:val="19"/>
        <w:numPr>
          <w:ilvl w:val="0"/>
          <w:numId w:val="13"/>
        </w:numPr>
        <w:tabs>
          <w:tab w:val="left" w:pos="1441"/>
          <w:tab w:val="left" w:pos="1442"/>
        </w:tabs>
        <w:spacing w:before="0" w:after="0" w:line="291" w:lineRule="exact"/>
        <w:ind w:left="440" w:leftChars="200" w:right="268" w:rightChars="122" w:firstLine="0" w:firstLineChars="0"/>
        <w:jc w:val="left"/>
        <w:rPr>
          <w:rFonts w:hint="default" w:ascii="Arial" w:hAnsi="Arial" w:cs="Arial"/>
          <w:sz w:val="22"/>
          <w:szCs w:val="22"/>
        </w:rPr>
      </w:pPr>
      <w:r>
        <w:rPr>
          <w:rFonts w:hint="default" w:ascii="Arial" w:hAnsi="Arial" w:cs="Arial"/>
          <w:b/>
          <w:spacing w:val="-9"/>
          <w:sz w:val="22"/>
          <w:szCs w:val="22"/>
          <w:lang w:val="pt-BR"/>
        </w:rPr>
        <w:t xml:space="preserve">Anexo </w:t>
      </w:r>
      <w:r>
        <w:rPr>
          <w:rFonts w:hint="default" w:cs="Arial"/>
          <w:b/>
          <w:spacing w:val="-9"/>
          <w:sz w:val="22"/>
          <w:szCs w:val="22"/>
          <w:lang w:val="pt-BR"/>
        </w:rPr>
        <w:t>IX</w:t>
      </w:r>
      <w:r>
        <w:rPr>
          <w:rFonts w:hint="default" w:ascii="Arial" w:hAnsi="Arial" w:cs="Arial"/>
          <w:b/>
          <w:spacing w:val="-9"/>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microempresa</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12"/>
          <w:sz w:val="22"/>
          <w:szCs w:val="22"/>
        </w:rPr>
        <w:t xml:space="preserve"> </w:t>
      </w:r>
      <w:r>
        <w:rPr>
          <w:rFonts w:hint="default" w:ascii="Arial" w:hAnsi="Arial" w:cs="Arial"/>
          <w:sz w:val="22"/>
          <w:szCs w:val="22"/>
        </w:rPr>
        <w:t>empresa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p>
    <w:p>
      <w:pPr>
        <w:pStyle w:val="19"/>
        <w:numPr>
          <w:ilvl w:val="0"/>
          <w:numId w:val="13"/>
        </w:numPr>
        <w:tabs>
          <w:tab w:val="left" w:pos="1441"/>
          <w:tab w:val="left" w:pos="1442"/>
        </w:tabs>
        <w:spacing w:before="0" w:after="0" w:line="240" w:lineRule="auto"/>
        <w:ind w:left="440" w:leftChars="200" w:right="268" w:rightChars="122" w:firstLine="0" w:firstLineChars="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2"/>
          <w:sz w:val="22"/>
          <w:szCs w:val="22"/>
        </w:rPr>
        <w:t xml:space="preserve"> </w:t>
      </w:r>
      <w:r>
        <w:rPr>
          <w:rFonts w:hint="default" w:ascii="Arial" w:hAnsi="Arial" w:cs="Arial"/>
          <w:b/>
          <w:spacing w:val="-12"/>
          <w:sz w:val="22"/>
          <w:szCs w:val="22"/>
          <w:lang w:val="pt-BR"/>
        </w:rPr>
        <w:t>X</w:t>
      </w:r>
      <w:r>
        <w:rPr>
          <w:rFonts w:hint="default" w:ascii="Arial" w:hAnsi="Arial" w:cs="Arial"/>
          <w:b/>
          <w:spacing w:val="-10"/>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conhecimento</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concordância</w:t>
      </w:r>
      <w:r>
        <w:rPr>
          <w:rFonts w:hint="default" w:ascii="Arial" w:hAnsi="Arial" w:cs="Arial"/>
          <w:spacing w:val="-11"/>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termos do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9"/>
        <w:numPr>
          <w:ilvl w:val="0"/>
          <w:numId w:val="13"/>
        </w:numPr>
        <w:tabs>
          <w:tab w:val="left" w:pos="1441"/>
          <w:tab w:val="left" w:pos="1442"/>
        </w:tabs>
        <w:spacing w:before="0" w:after="0" w:line="292" w:lineRule="exact"/>
        <w:ind w:left="440" w:leftChars="200" w:right="268" w:rightChars="122" w:firstLine="0" w:firstLineChars="0"/>
        <w:jc w:val="left"/>
        <w:rPr>
          <w:rFonts w:hint="default" w:ascii="Arial" w:hAnsi="Arial" w:cs="Arial"/>
          <w:sz w:val="22"/>
          <w:szCs w:val="22"/>
        </w:rPr>
      </w:pPr>
      <w:r>
        <w:rPr>
          <w:rFonts w:hint="default" w:ascii="Arial" w:hAnsi="Arial" w:cs="Arial"/>
          <w:b/>
          <w:sz w:val="22"/>
          <w:szCs w:val="22"/>
        </w:rPr>
        <w:t>Anexo X</w:t>
      </w:r>
      <w:r>
        <w:rPr>
          <w:rFonts w:hint="default" w:cs="Arial"/>
          <w:b/>
          <w:sz w:val="22"/>
          <w:szCs w:val="22"/>
          <w:lang w:val="pt-BR"/>
        </w:rPr>
        <w:t>I</w:t>
      </w:r>
      <w:r>
        <w:rPr>
          <w:rFonts w:hint="default" w:ascii="Arial" w:hAnsi="Arial" w:cs="Arial"/>
          <w:b/>
          <w:sz w:val="22"/>
          <w:szCs w:val="22"/>
        </w:rPr>
        <w:t xml:space="preserve"> – </w:t>
      </w:r>
      <w:r>
        <w:rPr>
          <w:rFonts w:hint="default" w:ascii="Arial" w:hAnsi="Arial" w:cs="Arial"/>
          <w:sz w:val="22"/>
          <w:szCs w:val="22"/>
        </w:rPr>
        <w:t>Declaração (art. 7°, XXXIII da</w:t>
      </w:r>
      <w:r>
        <w:rPr>
          <w:rFonts w:hint="default" w:ascii="Arial" w:hAnsi="Arial" w:cs="Arial"/>
          <w:spacing w:val="2"/>
          <w:sz w:val="22"/>
          <w:szCs w:val="22"/>
        </w:rPr>
        <w:t xml:space="preserve"> </w:t>
      </w:r>
      <w:r>
        <w:rPr>
          <w:rFonts w:hint="default" w:ascii="Arial" w:hAnsi="Arial" w:cs="Arial"/>
          <w:sz w:val="22"/>
          <w:szCs w:val="22"/>
        </w:rPr>
        <w:t>CF/88);</w:t>
      </w:r>
    </w:p>
    <w:p>
      <w:pPr>
        <w:pStyle w:val="6"/>
        <w:spacing w:line="274" w:lineRule="exact"/>
        <w:ind w:left="440" w:leftChars="200" w:right="268" w:rightChars="122" w:firstLine="0" w:firstLineChars="0"/>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3"/>
          <w:sz w:val="22"/>
          <w:szCs w:val="22"/>
        </w:rPr>
        <w:t xml:space="preserve"> </w:t>
      </w:r>
      <w:r>
        <w:rPr>
          <w:rFonts w:hint="default" w:ascii="Arial" w:hAnsi="Arial" w:cs="Arial"/>
          <w:b/>
          <w:sz w:val="22"/>
          <w:szCs w:val="22"/>
        </w:rPr>
        <w:t>X</w:t>
      </w:r>
      <w:r>
        <w:rPr>
          <w:rFonts w:hint="default" w:ascii="Arial" w:hAnsi="Arial" w:cs="Arial"/>
          <w:b/>
          <w:sz w:val="22"/>
          <w:szCs w:val="22"/>
          <w:lang w:val="pt-BR"/>
        </w:rPr>
        <w:t>I</w:t>
      </w:r>
      <w:r>
        <w:rPr>
          <w:rFonts w:hint="default" w:cs="Arial"/>
          <w:b/>
          <w:sz w:val="22"/>
          <w:szCs w:val="22"/>
          <w:lang w:val="pt-BR"/>
        </w:rPr>
        <w:t>I</w:t>
      </w:r>
      <w:r>
        <w:rPr>
          <w:rFonts w:hint="default" w:ascii="Arial" w:hAnsi="Arial" w:cs="Arial"/>
          <w:b/>
          <w:spacing w:val="-12"/>
          <w:sz w:val="22"/>
          <w:szCs w:val="22"/>
        </w:rPr>
        <w:t xml:space="preserve"> </w:t>
      </w:r>
      <w:r>
        <w:rPr>
          <w:rFonts w:hint="default" w:ascii="Arial" w:hAnsi="Arial" w:cs="Arial"/>
          <w:b/>
          <w:sz w:val="22"/>
          <w:szCs w:val="22"/>
        </w:rPr>
        <w:t>–</w:t>
      </w:r>
      <w:r>
        <w:rPr>
          <w:rFonts w:hint="default" w:ascii="Arial" w:hAnsi="Arial" w:cs="Arial"/>
          <w:b/>
          <w:spacing w:val="-14"/>
          <w:sz w:val="22"/>
          <w:szCs w:val="22"/>
        </w:rPr>
        <w:t xml:space="preserve"> </w:t>
      </w:r>
      <w:r>
        <w:rPr>
          <w:rFonts w:hint="default" w:ascii="Arial" w:hAnsi="Arial" w:cs="Arial"/>
          <w:sz w:val="22"/>
          <w:szCs w:val="22"/>
          <w:lang w:val="pt-BR"/>
        </w:rPr>
        <w:t>Modelo de declaração de Responsabilidade Técnica</w:t>
      </w:r>
      <w:r>
        <w:rPr>
          <w:rFonts w:hint="default" w:ascii="Arial" w:hAnsi="Arial" w:cs="Arial"/>
          <w:sz w:val="22"/>
          <w:szCs w:val="22"/>
        </w:rPr>
        <w:t>;</w:t>
      </w:r>
    </w:p>
    <w:p>
      <w:pPr>
        <w:pStyle w:val="19"/>
        <w:numPr>
          <w:ilvl w:val="0"/>
          <w:numId w:val="13"/>
        </w:numPr>
        <w:tabs>
          <w:tab w:val="left" w:pos="1441"/>
          <w:tab w:val="left" w:pos="1442"/>
        </w:tabs>
        <w:spacing w:before="0" w:after="0" w:line="293" w:lineRule="exact"/>
        <w:ind w:left="440" w:leftChars="200" w:right="268" w:rightChars="122" w:firstLine="0" w:firstLineChars="0"/>
        <w:jc w:val="left"/>
        <w:rPr>
          <w:rFonts w:hint="default" w:ascii="Arial" w:hAnsi="Arial" w:cs="Arial"/>
          <w:b w:val="0"/>
          <w:bCs/>
          <w:sz w:val="22"/>
          <w:szCs w:val="22"/>
        </w:rPr>
      </w:pPr>
      <w:r>
        <w:rPr>
          <w:rFonts w:hint="default" w:ascii="Arial" w:hAnsi="Arial" w:cs="Arial"/>
          <w:b/>
          <w:sz w:val="22"/>
          <w:szCs w:val="22"/>
        </w:rPr>
        <w:t>Anexo X</w:t>
      </w:r>
      <w:r>
        <w:rPr>
          <w:rFonts w:hint="default" w:ascii="Arial" w:hAnsi="Arial" w:cs="Arial"/>
          <w:b/>
          <w:sz w:val="22"/>
          <w:szCs w:val="22"/>
          <w:lang w:val="pt-BR"/>
        </w:rPr>
        <w:t>II</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b w:val="0"/>
          <w:bCs/>
          <w:sz w:val="22"/>
          <w:szCs w:val="22"/>
        </w:rPr>
        <w:t xml:space="preserve">– </w:t>
      </w:r>
      <w:r>
        <w:rPr>
          <w:rFonts w:hint="default" w:ascii="Arial" w:hAnsi="Arial" w:cs="Arial"/>
          <w:b w:val="0"/>
          <w:bCs/>
          <w:sz w:val="22"/>
          <w:szCs w:val="22"/>
          <w:lang w:val="pt-BR"/>
        </w:rPr>
        <w:t>Modelo de apresentação das CAT’S em nome dos profissionais;</w:t>
      </w:r>
    </w:p>
    <w:p>
      <w:pPr>
        <w:pStyle w:val="19"/>
        <w:numPr>
          <w:ilvl w:val="0"/>
          <w:numId w:val="13"/>
        </w:numPr>
        <w:tabs>
          <w:tab w:val="left" w:pos="1441"/>
          <w:tab w:val="left" w:pos="1442"/>
        </w:tabs>
        <w:spacing w:before="0" w:after="0" w:line="293" w:lineRule="exact"/>
        <w:ind w:left="440" w:leftChars="200" w:right="268" w:rightChars="122" w:firstLine="0" w:firstLineChars="0"/>
        <w:jc w:val="left"/>
        <w:rPr>
          <w:rFonts w:hint="default" w:ascii="Arial" w:hAnsi="Arial" w:cs="Arial"/>
          <w:b w:val="0"/>
          <w:bCs/>
          <w:sz w:val="22"/>
          <w:szCs w:val="22"/>
        </w:rPr>
      </w:pPr>
      <w:r>
        <w:rPr>
          <w:rFonts w:hint="default" w:ascii="Arial" w:hAnsi="Arial" w:cs="Arial"/>
          <w:b/>
          <w:sz w:val="22"/>
          <w:szCs w:val="22"/>
          <w:lang w:val="pt-BR"/>
        </w:rPr>
        <w:t>Anexo X</w:t>
      </w:r>
      <w:r>
        <w:rPr>
          <w:rFonts w:hint="default" w:cs="Arial"/>
          <w:b/>
          <w:sz w:val="22"/>
          <w:szCs w:val="22"/>
          <w:lang w:val="pt-BR"/>
        </w:rPr>
        <w:t>IV</w:t>
      </w:r>
      <w:r>
        <w:rPr>
          <w:rFonts w:hint="default" w:ascii="Arial" w:hAnsi="Arial" w:cs="Arial"/>
          <w:b/>
          <w:sz w:val="22"/>
          <w:szCs w:val="22"/>
          <w:lang w:val="pt-BR"/>
        </w:rPr>
        <w:t xml:space="preserve"> </w:t>
      </w:r>
      <w:r>
        <w:rPr>
          <w:rFonts w:hint="default" w:ascii="Arial" w:hAnsi="Arial" w:cs="Arial"/>
          <w:b w:val="0"/>
          <w:bCs/>
          <w:sz w:val="22"/>
          <w:szCs w:val="22"/>
          <w:lang w:val="pt-BR"/>
        </w:rPr>
        <w:t>- Modelo de apresentação dos atestados em nome da empresa;</w:t>
      </w:r>
    </w:p>
    <w:p>
      <w:pPr>
        <w:pStyle w:val="19"/>
        <w:numPr>
          <w:ilvl w:val="0"/>
          <w:numId w:val="13"/>
        </w:numPr>
        <w:tabs>
          <w:tab w:val="left" w:pos="1441"/>
          <w:tab w:val="left" w:pos="1442"/>
        </w:tabs>
        <w:spacing w:before="0" w:after="0" w:line="293" w:lineRule="exact"/>
        <w:ind w:left="440" w:leftChars="200" w:right="268" w:rightChars="122" w:firstLine="0" w:firstLineChars="0"/>
        <w:jc w:val="left"/>
        <w:rPr>
          <w:rFonts w:hint="default" w:cs="Arial"/>
          <w:b w:val="0"/>
          <w:bCs/>
          <w:sz w:val="22"/>
          <w:szCs w:val="22"/>
          <w:lang w:val="pt-BR"/>
        </w:rPr>
      </w:pPr>
      <w:r>
        <w:rPr>
          <w:rFonts w:hint="default" w:cs="Arial"/>
          <w:b/>
          <w:bCs w:val="0"/>
          <w:sz w:val="22"/>
          <w:szCs w:val="22"/>
          <w:lang w:val="pt-BR"/>
        </w:rPr>
        <w:t xml:space="preserve">Anexo XV </w:t>
      </w:r>
      <w:r>
        <w:rPr>
          <w:rFonts w:hint="default" w:cs="Arial"/>
          <w:b w:val="0"/>
          <w:bCs/>
          <w:sz w:val="22"/>
          <w:szCs w:val="22"/>
          <w:lang w:val="pt-BR"/>
        </w:rPr>
        <w:t>- Recibo recibo de retirada do edital pela internet;</w:t>
      </w:r>
    </w:p>
    <w:p>
      <w:pPr>
        <w:pStyle w:val="19"/>
        <w:numPr>
          <w:ilvl w:val="0"/>
          <w:numId w:val="0"/>
        </w:numPr>
        <w:tabs>
          <w:tab w:val="left" w:pos="1441"/>
          <w:tab w:val="left" w:pos="1442"/>
        </w:tabs>
        <w:spacing w:before="0" w:after="0" w:line="293" w:lineRule="exact"/>
        <w:ind w:left="440" w:leftChars="200" w:right="268" w:rightChars="122" w:firstLine="0" w:firstLineChars="0"/>
        <w:jc w:val="left"/>
        <w:rPr>
          <w:rFonts w:hint="default" w:ascii="Arial" w:hAnsi="Arial" w:cs="Arial"/>
          <w:b w:val="0"/>
          <w:bCs/>
          <w:sz w:val="22"/>
          <w:szCs w:val="22"/>
        </w:rPr>
      </w:pPr>
    </w:p>
    <w:p>
      <w:pPr>
        <w:pStyle w:val="19"/>
        <w:numPr>
          <w:ilvl w:val="1"/>
          <w:numId w:val="1"/>
        </w:numPr>
        <w:tabs>
          <w:tab w:val="left" w:pos="1430"/>
        </w:tabs>
        <w:spacing w:before="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9"/>
        <w:numPr>
          <w:ilvl w:val="1"/>
          <w:numId w:val="1"/>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9"/>
        <w:numPr>
          <w:ilvl w:val="1"/>
          <w:numId w:val="1"/>
        </w:numPr>
        <w:tabs>
          <w:tab w:val="left" w:pos="1430"/>
        </w:tabs>
        <w:spacing w:before="230"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 xml:space="preserve">desde que não contrariem disposição deste edital, constituirão parte integrante do contrato. </w:t>
      </w:r>
    </w:p>
    <w:p>
      <w:pPr>
        <w:pStyle w:val="19"/>
        <w:numPr>
          <w:ilvl w:val="1"/>
          <w:numId w:val="1"/>
        </w:numPr>
        <w:tabs>
          <w:tab w:val="left" w:pos="1430"/>
        </w:tabs>
        <w:spacing w:before="93" w:after="0" w:line="240" w:lineRule="auto"/>
        <w:ind w:left="440" w:leftChars="200" w:right="268" w:rightChars="122" w:firstLine="0" w:firstLineChars="0"/>
        <w:jc w:val="both"/>
        <w:rPr>
          <w:rFonts w:hint="default" w:ascii="Arial" w:hAnsi="Arial" w:cs="Arial"/>
          <w:sz w:val="22"/>
          <w:szCs w:val="22"/>
        </w:rPr>
      </w:pPr>
      <w:r>
        <w:rPr>
          <w:rFonts w:hint="default" w:ascii="Arial" w:hAnsi="Arial" w:cs="Arial"/>
          <w:sz w:val="22"/>
          <w:szCs w:val="22"/>
        </w:rPr>
        <w:t>É facultada à CPEL,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9"/>
        <w:numPr>
          <w:ilvl w:val="0"/>
          <w:numId w:val="0"/>
        </w:numPr>
        <w:tabs>
          <w:tab w:val="left" w:pos="1430"/>
        </w:tabs>
        <w:spacing w:before="230" w:after="0" w:line="240" w:lineRule="auto"/>
        <w:ind w:left="440" w:leftChars="200" w:right="268" w:rightChars="122" w:firstLine="0" w:firstLineChars="0"/>
        <w:jc w:val="both"/>
        <w:rPr>
          <w:rFonts w:hint="default" w:ascii="Arial" w:hAnsi="Arial" w:cs="Arial"/>
          <w:b/>
          <w:sz w:val="22"/>
          <w:szCs w:val="22"/>
        </w:rPr>
      </w:pPr>
      <w:r>
        <w:rPr>
          <w:rFonts w:hint="default" w:cs="Arial"/>
          <w:b w:val="0"/>
          <w:bCs w:val="0"/>
          <w:sz w:val="22"/>
          <w:szCs w:val="22"/>
          <w:lang w:val="pt-BR"/>
        </w:rPr>
        <w:t xml:space="preserve">20.11. </w:t>
      </w:r>
      <w:r>
        <w:rPr>
          <w:rFonts w:hint="default" w:ascii="Arial" w:hAnsi="Arial" w:cs="Arial"/>
          <w:b w:val="0"/>
          <w:bCs w:val="0"/>
          <w:sz w:val="22"/>
          <w:szCs w:val="22"/>
        </w:rPr>
        <w:t>Em qualquer fase, a CPEL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9"/>
        <w:numPr>
          <w:ilvl w:val="0"/>
          <w:numId w:val="0"/>
        </w:numPr>
        <w:tabs>
          <w:tab w:val="left" w:pos="1430"/>
        </w:tabs>
        <w:spacing w:before="228"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20.12.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9"/>
        <w:numPr>
          <w:ilvl w:val="0"/>
          <w:numId w:val="0"/>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20.13.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6"/>
          <w:rFonts w:hint="default" w:ascii="Arial" w:hAnsi="Arial" w:cs="Arial"/>
          <w:color w:val="0462C1"/>
          <w:sz w:val="22"/>
          <w:szCs w:val="22"/>
        </w:rPr>
        <w:t>www.code</w:t>
      </w:r>
      <w:r>
        <w:rPr>
          <w:rStyle w:val="16"/>
          <w:rFonts w:hint="default" w:ascii="Arial" w:hAnsi="Arial" w:cs="Arial"/>
          <w:color w:val="0462C1"/>
          <w:sz w:val="22"/>
          <w:szCs w:val="22"/>
          <w:lang w:val="pt-BR"/>
        </w:rPr>
        <w:t>n</w:t>
      </w:r>
      <w:r>
        <w:rPr>
          <w:rStyle w:val="16"/>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9"/>
        <w:numPr>
          <w:ilvl w:val="0"/>
          <w:numId w:val="0"/>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r>
        <w:rPr>
          <w:rFonts w:hint="default" w:cs="Arial"/>
          <w:sz w:val="22"/>
          <w:szCs w:val="22"/>
          <w:lang w:val="pt-BR"/>
        </w:rPr>
        <w:t xml:space="preserve">20.14.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19"/>
        <w:numPr>
          <w:ilvl w:val="0"/>
          <w:numId w:val="0"/>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p>
    <w:p>
      <w:pPr>
        <w:pStyle w:val="19"/>
        <w:numPr>
          <w:ilvl w:val="0"/>
          <w:numId w:val="0"/>
        </w:numPr>
        <w:tabs>
          <w:tab w:val="left" w:pos="1430"/>
        </w:tabs>
        <w:spacing w:before="231" w:after="0" w:line="240" w:lineRule="auto"/>
        <w:ind w:left="440" w:leftChars="200" w:right="268" w:rightChars="122" w:firstLine="0" w:firstLineChars="0"/>
        <w:jc w:val="both"/>
        <w:rPr>
          <w:rFonts w:hint="default" w:ascii="Arial" w:hAnsi="Arial" w:cs="Arial"/>
          <w:sz w:val="22"/>
          <w:szCs w:val="22"/>
        </w:rPr>
      </w:pPr>
    </w:p>
    <w:p>
      <w:pPr>
        <w:pStyle w:val="6"/>
        <w:spacing w:before="230"/>
        <w:ind w:left="440" w:leftChars="200" w:right="268" w:rightChars="122" w:firstLine="0" w:firstLineChars="0"/>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cs="Arial"/>
          <w:sz w:val="22"/>
          <w:szCs w:val="22"/>
          <w:lang w:val="pt-BR"/>
        </w:rPr>
        <w:t>12</w:t>
      </w:r>
      <w:r>
        <w:rPr>
          <w:rFonts w:hint="default" w:ascii="Arial" w:hAnsi="Arial" w:cs="Arial"/>
          <w:sz w:val="22"/>
          <w:szCs w:val="22"/>
        </w:rPr>
        <w:t xml:space="preserve"> de </w:t>
      </w:r>
      <w:r>
        <w:rPr>
          <w:rFonts w:hint="default" w:cs="Arial"/>
          <w:sz w:val="22"/>
          <w:szCs w:val="22"/>
          <w:lang w:val="pt-BR"/>
        </w:rPr>
        <w:t xml:space="preserve">agosto </w:t>
      </w:r>
      <w:r>
        <w:rPr>
          <w:rFonts w:hint="default" w:ascii="Arial" w:hAnsi="Arial" w:cs="Arial"/>
          <w:sz w:val="22"/>
          <w:szCs w:val="22"/>
        </w:rPr>
        <w:t>de 201</w:t>
      </w:r>
      <w:r>
        <w:rPr>
          <w:rFonts w:hint="default" w:cs="Arial"/>
          <w:sz w:val="22"/>
          <w:szCs w:val="22"/>
          <w:lang w:val="pt-BR"/>
        </w:rPr>
        <w:t>9</w:t>
      </w:r>
      <w:r>
        <w:rPr>
          <w:rFonts w:hint="default" w:ascii="Arial" w:hAnsi="Arial" w:cs="Arial"/>
          <w:sz w:val="22"/>
          <w:szCs w:val="22"/>
        </w:rPr>
        <w:t>.</w:t>
      </w:r>
    </w:p>
    <w:p>
      <w:pPr>
        <w:pStyle w:val="6"/>
        <w:ind w:left="440" w:leftChars="200" w:right="268" w:rightChars="122" w:firstLine="0" w:firstLineChars="0"/>
        <w:jc w:val="center"/>
        <w:rPr>
          <w:rFonts w:hint="default" w:ascii="Arial" w:hAnsi="Arial" w:cs="Arial"/>
          <w:b/>
          <w:sz w:val="22"/>
          <w:szCs w:val="22"/>
          <w:lang w:val="pt-BR"/>
        </w:rPr>
      </w:pPr>
    </w:p>
    <w:p>
      <w:pPr>
        <w:pStyle w:val="6"/>
        <w:ind w:left="440" w:leftChars="200" w:right="268" w:rightChars="122" w:firstLine="0" w:firstLineChars="0"/>
        <w:jc w:val="center"/>
        <w:rPr>
          <w:rFonts w:hint="default" w:ascii="Arial" w:hAnsi="Arial" w:cs="Arial"/>
          <w:b/>
          <w:sz w:val="22"/>
          <w:szCs w:val="22"/>
          <w:lang w:val="pt-BR"/>
        </w:rPr>
      </w:pPr>
    </w:p>
    <w:p>
      <w:pPr>
        <w:pStyle w:val="6"/>
        <w:ind w:left="440" w:leftChars="200" w:right="268" w:rightChars="122" w:firstLine="0" w:firstLineChars="0"/>
        <w:jc w:val="center"/>
        <w:rPr>
          <w:rFonts w:hint="default" w:ascii="Arial" w:hAnsi="Arial" w:cs="Arial"/>
          <w:b/>
          <w:sz w:val="22"/>
          <w:szCs w:val="22"/>
          <w:lang w:val="pt-BR"/>
        </w:rPr>
      </w:pPr>
    </w:p>
    <w:p>
      <w:pPr>
        <w:pStyle w:val="6"/>
        <w:ind w:left="440" w:leftChars="200" w:right="268" w:rightChars="122" w:firstLine="0" w:firstLineChars="0"/>
        <w:jc w:val="center"/>
        <w:rPr>
          <w:rFonts w:hint="default" w:ascii="Arial" w:hAnsi="Arial" w:cs="Arial"/>
          <w:b/>
          <w:sz w:val="22"/>
          <w:szCs w:val="22"/>
          <w:lang w:val="pt-BR"/>
        </w:rPr>
      </w:pPr>
    </w:p>
    <w:p>
      <w:pPr>
        <w:pStyle w:val="6"/>
        <w:ind w:left="440" w:leftChars="200" w:right="268" w:rightChars="122" w:firstLine="0" w:firstLineChars="0"/>
        <w:jc w:val="center"/>
        <w:rPr>
          <w:rFonts w:hint="default" w:ascii="Arial" w:hAnsi="Arial" w:cs="Arial"/>
          <w:b/>
          <w:sz w:val="22"/>
          <w:szCs w:val="22"/>
          <w:lang w:val="pt-BR"/>
        </w:rPr>
      </w:pPr>
    </w:p>
    <w:p>
      <w:pPr>
        <w:pStyle w:val="6"/>
        <w:ind w:left="440" w:leftChars="200" w:right="268" w:rightChars="122" w:firstLine="0" w:firstLineChars="0"/>
        <w:jc w:val="center"/>
        <w:rPr>
          <w:rFonts w:hint="default" w:cs="Arial"/>
          <w:b/>
          <w:sz w:val="22"/>
          <w:szCs w:val="22"/>
          <w:lang w:val="pt-BR"/>
        </w:rPr>
      </w:pPr>
      <w:r>
        <w:rPr>
          <w:rFonts w:hint="default" w:cs="Arial"/>
          <w:b/>
          <w:sz w:val="22"/>
          <w:szCs w:val="22"/>
          <w:lang w:val="pt-BR"/>
        </w:rPr>
        <w:t>Ricardo Ongaro</w:t>
      </w:r>
    </w:p>
    <w:p>
      <w:pPr>
        <w:pStyle w:val="6"/>
        <w:ind w:left="440" w:leftChars="200" w:right="268" w:rightChars="122" w:firstLine="0" w:firstLineChars="0"/>
        <w:jc w:val="center"/>
        <w:rPr>
          <w:rFonts w:hint="default" w:cs="Arial"/>
          <w:b/>
          <w:sz w:val="22"/>
          <w:szCs w:val="22"/>
          <w:lang w:val="pt-BR"/>
        </w:rPr>
      </w:pPr>
      <w:r>
        <w:rPr>
          <w:rFonts w:hint="default" w:cs="Arial"/>
          <w:b/>
          <w:sz w:val="22"/>
          <w:szCs w:val="22"/>
          <w:lang w:val="pt-BR"/>
        </w:rPr>
        <w:t>Diretor Presidente</w:t>
      </w:r>
    </w:p>
    <w:p>
      <w:pPr>
        <w:pStyle w:val="6"/>
        <w:spacing w:before="11"/>
        <w:ind w:left="440" w:leftChars="200" w:right="268" w:rightChars="122" w:firstLine="0" w:firstLineChars="0"/>
        <w:rPr>
          <w:rFonts w:hint="default" w:ascii="Arial" w:hAnsi="Arial" w:cs="Arial"/>
          <w:b/>
          <w:sz w:val="22"/>
          <w:szCs w:val="22"/>
        </w:rPr>
      </w:pPr>
    </w:p>
    <w:p>
      <w:pPr>
        <w:pStyle w:val="6"/>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ind w:left="440" w:leftChars="200" w:right="268" w:rightChars="122" w:firstLine="0" w:firstLineChars="0"/>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6"/>
        <w:spacing w:before="1"/>
        <w:rPr>
          <w:rFonts w:hint="default" w:ascii="Arial" w:hAnsi="Arial" w:cs="Arial"/>
          <w:b/>
          <w:sz w:val="22"/>
          <w:szCs w:val="22"/>
        </w:rPr>
      </w:pPr>
    </w:p>
    <w:p>
      <w:pPr>
        <w:pStyle w:val="2"/>
        <w:spacing w:before="92" w:line="720" w:lineRule="auto"/>
        <w:ind w:left="0" w:leftChars="0" w:right="48" w:rightChars="22" w:firstLine="0" w:firstLineChars="0"/>
        <w:jc w:val="center"/>
        <w:rPr>
          <w:rFonts w:hint="default" w:cs="Arial"/>
          <w:sz w:val="22"/>
          <w:szCs w:val="22"/>
          <w:lang w:val="pt-BR"/>
        </w:rPr>
      </w:pPr>
      <w:r>
        <w:rPr>
          <w:rFonts w:hint="default" w:ascii="Arial" w:hAnsi="Arial" w:cs="Arial"/>
          <w:sz w:val="22"/>
          <w:szCs w:val="22"/>
        </w:rPr>
        <w:t xml:space="preserve">ANEXO I - </w:t>
      </w:r>
      <w:r>
        <w:rPr>
          <w:rFonts w:hint="default" w:cs="Arial"/>
          <w:sz w:val="22"/>
          <w:szCs w:val="22"/>
          <w:lang w:val="pt-BR"/>
        </w:rPr>
        <w:t>TERMO DE REFERÊNCIA</w:t>
      </w:r>
    </w:p>
    <w:sdt>
      <w:sdtPr>
        <w:rPr>
          <w:rFonts w:asciiTheme="minorHAnsi" w:hAnsiTheme="minorHAnsi" w:eastAsiaTheme="minorHAnsi" w:cstheme="minorBidi"/>
          <w:color w:val="auto"/>
          <w:sz w:val="22"/>
          <w:szCs w:val="22"/>
          <w:lang w:eastAsia="en-US"/>
        </w:rPr>
        <w:id w:val="-621383714"/>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pPr>
            <w:pStyle w:val="29"/>
            <w:rPr>
              <w:rFonts w:asciiTheme="minorHAnsi" w:hAnsiTheme="minorHAnsi" w:cstheme="minorHAnsi"/>
              <w:b/>
              <w:color w:val="auto"/>
            </w:rPr>
          </w:pPr>
          <w:r>
            <w:rPr>
              <w:rFonts w:asciiTheme="minorHAnsi" w:hAnsiTheme="minorHAnsi" w:cstheme="minorHAnsi"/>
              <w:b/>
              <w:color w:val="auto"/>
            </w:rPr>
            <w:t>Sumário</w:t>
          </w:r>
        </w:p>
        <w:p>
          <w:pPr>
            <w:pStyle w:val="13"/>
            <w:tabs>
              <w:tab w:val="left" w:pos="440"/>
              <w:tab w:val="right" w:leader="dot" w:pos="8494"/>
            </w:tabs>
            <w:rPr>
              <w:rFonts w:eastAsiaTheme="minorEastAsia"/>
              <w:lang w:eastAsia="pt-BR"/>
            </w:rPr>
          </w:pPr>
          <w:r>
            <w:fldChar w:fldCharType="begin"/>
          </w:r>
          <w:r>
            <w:instrText xml:space="preserve"> TOC \o "1-3" \h \z \u </w:instrText>
          </w:r>
          <w:r>
            <w:fldChar w:fldCharType="separate"/>
          </w:r>
          <w:r>
            <w:fldChar w:fldCharType="begin"/>
          </w:r>
          <w:r>
            <w:instrText xml:space="preserve"> HYPERLINK \l "_Toc3992685" </w:instrText>
          </w:r>
          <w:r>
            <w:fldChar w:fldCharType="separate"/>
          </w:r>
          <w:r>
            <w:rPr>
              <w:rStyle w:val="16"/>
              <w:rFonts w:eastAsia="Times New Roman" w:cstheme="minorHAnsi"/>
              <w:b/>
            </w:rPr>
            <w:t>1.</w:t>
          </w:r>
          <w:r>
            <w:rPr>
              <w:rFonts w:eastAsiaTheme="minorEastAsia"/>
              <w:lang w:eastAsia="pt-BR"/>
            </w:rPr>
            <w:tab/>
          </w:r>
          <w:r>
            <w:rPr>
              <w:rStyle w:val="16"/>
              <w:rFonts w:eastAsia="Times New Roman" w:cstheme="minorHAnsi"/>
              <w:b/>
            </w:rPr>
            <w:t>Objetivo</w:t>
          </w:r>
          <w:r>
            <w:tab/>
          </w:r>
          <w:r>
            <w:fldChar w:fldCharType="begin"/>
          </w:r>
          <w:r>
            <w:instrText xml:space="preserve"> PAGEREF _Toc3992685 \h </w:instrText>
          </w:r>
          <w:r>
            <w:fldChar w:fldCharType="separate"/>
          </w:r>
          <w:r>
            <w:t>2</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"_Toc3992686" </w:instrText>
          </w:r>
          <w:r>
            <w:fldChar w:fldCharType="separate"/>
          </w:r>
          <w:r>
            <w:rPr>
              <w:rStyle w:val="16"/>
              <w:rFonts w:eastAsia="Times New Roman" w:cstheme="minorHAnsi"/>
              <w:b/>
            </w:rPr>
            <w:t>2.</w:t>
          </w:r>
          <w:r>
            <w:rPr>
              <w:rFonts w:eastAsiaTheme="minorEastAsia"/>
              <w:lang w:eastAsia="pt-BR"/>
            </w:rPr>
            <w:tab/>
          </w:r>
          <w:r>
            <w:rPr>
              <w:rStyle w:val="16"/>
              <w:rFonts w:eastAsia="Times New Roman" w:cstheme="minorHAnsi"/>
              <w:b/>
            </w:rPr>
            <w:t>Conteúdo</w:t>
          </w:r>
          <w:r>
            <w:tab/>
          </w:r>
          <w:r>
            <w:fldChar w:fldCharType="begin"/>
          </w:r>
          <w:r>
            <w:instrText xml:space="preserve"> PAGEREF _Toc3992686 \h </w:instrText>
          </w:r>
          <w:r>
            <w:fldChar w:fldCharType="separate"/>
          </w:r>
          <w:r>
            <w:t>3</w:t>
          </w:r>
          <w:r>
            <w:fldChar w:fldCharType="end"/>
          </w:r>
          <w:r>
            <w:fldChar w:fldCharType="end"/>
          </w:r>
        </w:p>
        <w:p>
          <w:pPr>
            <w:pStyle w:val="5"/>
            <w:tabs>
              <w:tab w:val="left" w:pos="880"/>
              <w:tab w:val="right" w:leader="dot" w:pos="8494"/>
            </w:tabs>
            <w:rPr>
              <w:rFonts w:eastAsiaTheme="minorEastAsia"/>
              <w:lang w:eastAsia="pt-BR"/>
            </w:rPr>
          </w:pPr>
          <w:r>
            <w:fldChar w:fldCharType="begin"/>
          </w:r>
          <w:r>
            <w:instrText xml:space="preserve"> HYPERLINK \l "_Toc3992687" </w:instrText>
          </w:r>
          <w:r>
            <w:fldChar w:fldCharType="separate"/>
          </w:r>
          <w:r>
            <w:rPr>
              <w:rStyle w:val="16"/>
              <w:rFonts w:eastAsia="Times New Roman" w:cstheme="minorHAnsi"/>
              <w:b/>
            </w:rPr>
            <w:t>2.1</w:t>
          </w:r>
          <w:r>
            <w:rPr>
              <w:rFonts w:eastAsiaTheme="minorEastAsia"/>
              <w:lang w:eastAsia="pt-BR"/>
            </w:rPr>
            <w:tab/>
          </w:r>
          <w:r>
            <w:rPr>
              <w:rStyle w:val="16"/>
              <w:rFonts w:eastAsia="Times New Roman" w:cstheme="minorHAnsi"/>
              <w:b/>
            </w:rPr>
            <w:t>Plano de Segurança de Barragem - PSB</w:t>
          </w:r>
          <w:r>
            <w:tab/>
          </w:r>
          <w:r>
            <w:fldChar w:fldCharType="begin"/>
          </w:r>
          <w:r>
            <w:instrText xml:space="preserve"> PAGEREF _Toc3992687 \h </w:instrText>
          </w:r>
          <w:r>
            <w:fldChar w:fldCharType="separate"/>
          </w:r>
          <w:r>
            <w:t>3</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"_Toc3992688" </w:instrText>
          </w:r>
          <w:r>
            <w:fldChar w:fldCharType="separate"/>
          </w:r>
          <w:r>
            <w:rPr>
              <w:rStyle w:val="16"/>
              <w:rFonts w:eastAsia="Times New Roman" w:cstheme="minorHAnsi"/>
              <w:b/>
            </w:rPr>
            <w:t>2.1.1.</w:t>
          </w:r>
          <w:r>
            <w:rPr>
              <w:rFonts w:eastAsiaTheme="minorEastAsia"/>
              <w:lang w:eastAsia="pt-BR"/>
            </w:rPr>
            <w:tab/>
          </w:r>
          <w:r>
            <w:rPr>
              <w:rStyle w:val="16"/>
              <w:rFonts w:eastAsia="Times New Roman" w:cstheme="minorHAnsi"/>
              <w:b/>
            </w:rPr>
            <w:t>Volume I</w:t>
          </w:r>
          <w:r>
            <w:tab/>
          </w:r>
          <w:r>
            <w:fldChar w:fldCharType="begin"/>
          </w:r>
          <w:r>
            <w:instrText xml:space="preserve"> PAGEREF _Toc3992688 \h </w:instrText>
          </w:r>
          <w:r>
            <w:fldChar w:fldCharType="separate"/>
          </w:r>
          <w:r>
            <w:t>3</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"_Toc3992689" </w:instrText>
          </w:r>
          <w:r>
            <w:fldChar w:fldCharType="separate"/>
          </w:r>
          <w:r>
            <w:rPr>
              <w:rStyle w:val="16"/>
              <w:rFonts w:eastAsia="Times New Roman" w:cstheme="minorHAnsi"/>
              <w:b/>
            </w:rPr>
            <w:t>2.1.2.</w:t>
          </w:r>
          <w:r>
            <w:rPr>
              <w:rFonts w:eastAsiaTheme="minorEastAsia"/>
              <w:lang w:eastAsia="pt-BR"/>
            </w:rPr>
            <w:tab/>
          </w:r>
          <w:r>
            <w:rPr>
              <w:rStyle w:val="16"/>
              <w:rFonts w:eastAsia="Times New Roman" w:cstheme="minorHAnsi"/>
              <w:b/>
            </w:rPr>
            <w:t>Volume II</w:t>
          </w:r>
          <w:r>
            <w:tab/>
          </w:r>
          <w:r>
            <w:fldChar w:fldCharType="begin"/>
          </w:r>
          <w:r>
            <w:instrText xml:space="preserve"> PAGEREF _Toc3992689 \h </w:instrText>
          </w:r>
          <w:r>
            <w:fldChar w:fldCharType="separate"/>
          </w:r>
          <w:r>
            <w:t>5</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"_Toc3992690" </w:instrText>
          </w:r>
          <w:r>
            <w:fldChar w:fldCharType="separate"/>
          </w:r>
          <w:r>
            <w:rPr>
              <w:rStyle w:val="16"/>
              <w:rFonts w:eastAsia="Times New Roman" w:cstheme="minorHAnsi"/>
              <w:b/>
            </w:rPr>
            <w:t>2.1.3.</w:t>
          </w:r>
          <w:r>
            <w:rPr>
              <w:rFonts w:eastAsiaTheme="minorEastAsia"/>
              <w:lang w:eastAsia="pt-BR"/>
            </w:rPr>
            <w:tab/>
          </w:r>
          <w:r>
            <w:rPr>
              <w:rStyle w:val="16"/>
              <w:rFonts w:eastAsia="Times New Roman" w:cstheme="minorHAnsi"/>
              <w:b/>
            </w:rPr>
            <w:t>Volume III</w:t>
          </w:r>
          <w:r>
            <w:tab/>
          </w:r>
          <w:r>
            <w:fldChar w:fldCharType="begin"/>
          </w:r>
          <w:r>
            <w:instrText xml:space="preserve"> PAGEREF _Toc3992690 \h </w:instrText>
          </w:r>
          <w:r>
            <w:fldChar w:fldCharType="separate"/>
          </w:r>
          <w:r>
            <w:t>6</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"_Toc3992691" </w:instrText>
          </w:r>
          <w:r>
            <w:fldChar w:fldCharType="separate"/>
          </w:r>
          <w:r>
            <w:rPr>
              <w:rStyle w:val="16"/>
              <w:rFonts w:eastAsia="Times New Roman" w:cstheme="minorHAnsi"/>
              <w:b/>
            </w:rPr>
            <w:t>2.1.4.</w:t>
          </w:r>
          <w:r>
            <w:rPr>
              <w:rFonts w:eastAsiaTheme="minorEastAsia"/>
              <w:lang w:eastAsia="pt-BR"/>
            </w:rPr>
            <w:tab/>
          </w:r>
          <w:r>
            <w:rPr>
              <w:rStyle w:val="16"/>
              <w:rFonts w:eastAsia="Times New Roman" w:cstheme="minorHAnsi"/>
              <w:b/>
            </w:rPr>
            <w:t>Volume IV</w:t>
          </w:r>
          <w:r>
            <w:tab/>
          </w:r>
          <w:r>
            <w:fldChar w:fldCharType="begin"/>
          </w:r>
          <w:r>
            <w:instrText xml:space="preserve"> PAGEREF _Toc3992691 \h </w:instrText>
          </w:r>
          <w:r>
            <w:fldChar w:fldCharType="separate"/>
          </w:r>
          <w:r>
            <w:t>7</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"_Toc3992692" </w:instrText>
          </w:r>
          <w:r>
            <w:fldChar w:fldCharType="separate"/>
          </w:r>
          <w:r>
            <w:rPr>
              <w:rStyle w:val="16"/>
              <w:rFonts w:eastAsia="Times New Roman" w:cstheme="minorHAnsi"/>
              <w:b/>
            </w:rPr>
            <w:t>2.1.5.</w:t>
          </w:r>
          <w:r>
            <w:rPr>
              <w:rFonts w:eastAsiaTheme="minorEastAsia"/>
              <w:lang w:eastAsia="pt-BR"/>
            </w:rPr>
            <w:tab/>
          </w:r>
          <w:r>
            <w:rPr>
              <w:rStyle w:val="16"/>
              <w:rFonts w:eastAsia="Times New Roman" w:cstheme="minorHAnsi"/>
              <w:b/>
            </w:rPr>
            <w:t>Volume V</w:t>
          </w:r>
          <w:r>
            <w:tab/>
          </w:r>
          <w:r>
            <w:fldChar w:fldCharType="begin"/>
          </w:r>
          <w:r>
            <w:instrText xml:space="preserve"> PAGEREF _Toc3992692 \h </w:instrText>
          </w:r>
          <w:r>
            <w:fldChar w:fldCharType="separate"/>
          </w:r>
          <w:r>
            <w:t>13</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"_Toc3992693" </w:instrText>
          </w:r>
          <w:r>
            <w:fldChar w:fldCharType="separate"/>
          </w:r>
          <w:r>
            <w:rPr>
              <w:rStyle w:val="16"/>
              <w:rFonts w:eastAsia="Times New Roman" w:cstheme="minorHAnsi"/>
              <w:b/>
            </w:rPr>
            <w:t>2.1.6.</w:t>
          </w:r>
          <w:r>
            <w:rPr>
              <w:rFonts w:eastAsiaTheme="minorEastAsia"/>
              <w:lang w:eastAsia="pt-BR"/>
            </w:rPr>
            <w:tab/>
          </w:r>
          <w:r>
            <w:rPr>
              <w:rStyle w:val="16"/>
              <w:rFonts w:eastAsia="Times New Roman" w:cstheme="minorHAnsi"/>
              <w:b/>
            </w:rPr>
            <w:t>Volume VI</w:t>
          </w:r>
          <w:r>
            <w:tab/>
          </w:r>
          <w:r>
            <w:fldChar w:fldCharType="begin"/>
          </w:r>
          <w:r>
            <w:instrText xml:space="preserve"> PAGEREF _Toc3992693 \h </w:instrText>
          </w:r>
          <w:r>
            <w:fldChar w:fldCharType="separate"/>
          </w:r>
          <w:r>
            <w:t>13</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"_Toc3992694" </w:instrText>
          </w:r>
          <w:r>
            <w:fldChar w:fldCharType="separate"/>
          </w:r>
          <w:r>
            <w:rPr>
              <w:rStyle w:val="16"/>
              <w:rFonts w:eastAsia="Times New Roman" w:cstheme="minorHAnsi"/>
              <w:b/>
            </w:rPr>
            <w:t>3.</w:t>
          </w:r>
          <w:r>
            <w:rPr>
              <w:rFonts w:eastAsiaTheme="minorEastAsia"/>
              <w:lang w:eastAsia="pt-BR"/>
            </w:rPr>
            <w:tab/>
          </w:r>
          <w:r>
            <w:rPr>
              <w:rStyle w:val="16"/>
              <w:rFonts w:eastAsia="Times New Roman" w:cstheme="minorHAnsi"/>
              <w:b/>
            </w:rPr>
            <w:t>Levantamento de Campo</w:t>
          </w:r>
          <w:r>
            <w:tab/>
          </w:r>
          <w:r>
            <w:fldChar w:fldCharType="begin"/>
          </w:r>
          <w:r>
            <w:instrText xml:space="preserve"> PAGEREF _Toc3992694 \h </w:instrText>
          </w:r>
          <w:r>
            <w:fldChar w:fldCharType="separate"/>
          </w:r>
          <w:r>
            <w:t>28</w:t>
          </w:r>
          <w:r>
            <w:fldChar w:fldCharType="end"/>
          </w:r>
          <w:r>
            <w:fldChar w:fldCharType="end"/>
          </w:r>
        </w:p>
        <w:p>
          <w:pPr>
            <w:pStyle w:val="5"/>
            <w:tabs>
              <w:tab w:val="left" w:pos="880"/>
              <w:tab w:val="right" w:leader="dot" w:pos="8494"/>
            </w:tabs>
            <w:rPr>
              <w:rFonts w:eastAsiaTheme="minorEastAsia"/>
              <w:lang w:eastAsia="pt-BR"/>
            </w:rPr>
          </w:pPr>
          <w:r>
            <w:fldChar w:fldCharType="begin"/>
          </w:r>
          <w:r>
            <w:instrText xml:space="preserve"> HYPERLINK \l "_Toc3992695" </w:instrText>
          </w:r>
          <w:r>
            <w:fldChar w:fldCharType="separate"/>
          </w:r>
          <w:r>
            <w:rPr>
              <w:rStyle w:val="16"/>
              <w:rFonts w:eastAsia="Times New Roman" w:cstheme="minorHAnsi"/>
              <w:b/>
            </w:rPr>
            <w:t>3.1</w:t>
          </w:r>
          <w:r>
            <w:rPr>
              <w:rFonts w:eastAsiaTheme="minorEastAsia"/>
              <w:lang w:eastAsia="pt-BR"/>
            </w:rPr>
            <w:tab/>
          </w:r>
          <w:r>
            <w:rPr>
              <w:rStyle w:val="16"/>
              <w:rFonts w:eastAsia="Times New Roman" w:cstheme="minorHAnsi"/>
              <w:b/>
            </w:rPr>
            <w:t>Levantamento Topográfico</w:t>
          </w:r>
          <w:r>
            <w:tab/>
          </w:r>
          <w:r>
            <w:fldChar w:fldCharType="begin"/>
          </w:r>
          <w:r>
            <w:instrText xml:space="preserve"> PAGEREF _Toc3992695 \h </w:instrText>
          </w:r>
          <w:r>
            <w:fldChar w:fldCharType="separate"/>
          </w:r>
          <w:r>
            <w:t>28</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"_Toc3992696" </w:instrText>
          </w:r>
          <w:r>
            <w:fldChar w:fldCharType="separate"/>
          </w:r>
          <w:r>
            <w:rPr>
              <w:rStyle w:val="16"/>
              <w:rFonts w:eastAsia="Times New Roman" w:cstheme="minorHAnsi"/>
              <w:b/>
            </w:rPr>
            <w:t>3.1.1.</w:t>
          </w:r>
          <w:r>
            <w:rPr>
              <w:rFonts w:eastAsiaTheme="minorEastAsia"/>
              <w:lang w:eastAsia="pt-BR"/>
            </w:rPr>
            <w:tab/>
          </w:r>
          <w:r>
            <w:rPr>
              <w:rStyle w:val="16"/>
              <w:rFonts w:eastAsia="Times New Roman" w:cstheme="minorHAnsi"/>
              <w:b/>
            </w:rPr>
            <w:t>Processamento dos Dados</w:t>
          </w:r>
          <w:r>
            <w:tab/>
          </w:r>
          <w:r>
            <w:fldChar w:fldCharType="begin"/>
          </w:r>
          <w:r>
            <w:instrText xml:space="preserve"> PAGEREF _Toc3992696 \h </w:instrText>
          </w:r>
          <w:r>
            <w:fldChar w:fldCharType="separate"/>
          </w:r>
          <w:r>
            <w:t>28</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"_Toc3992697" </w:instrText>
          </w:r>
          <w:r>
            <w:fldChar w:fldCharType="separate"/>
          </w:r>
          <w:r>
            <w:rPr>
              <w:rStyle w:val="16"/>
              <w:rFonts w:eastAsia="Times New Roman" w:cstheme="minorHAnsi"/>
              <w:b/>
            </w:rPr>
            <w:t>3.1.2.</w:t>
          </w:r>
          <w:r>
            <w:rPr>
              <w:rFonts w:eastAsiaTheme="minorEastAsia"/>
              <w:lang w:eastAsia="pt-BR"/>
            </w:rPr>
            <w:tab/>
          </w:r>
          <w:r>
            <w:rPr>
              <w:rStyle w:val="16"/>
              <w:rFonts w:eastAsia="Times New Roman" w:cstheme="minorHAnsi"/>
              <w:b/>
            </w:rPr>
            <w:t>Planejamento do Trabalho</w:t>
          </w:r>
          <w:r>
            <w:tab/>
          </w:r>
          <w:r>
            <w:fldChar w:fldCharType="begin"/>
          </w:r>
          <w:r>
            <w:instrText xml:space="preserve"> PAGEREF _Toc3992697 \h </w:instrText>
          </w:r>
          <w:r>
            <w:fldChar w:fldCharType="separate"/>
          </w:r>
          <w:r>
            <w:t>29</w:t>
          </w:r>
          <w:r>
            <w:fldChar w:fldCharType="end"/>
          </w:r>
          <w:r>
            <w:fldChar w:fldCharType="end"/>
          </w:r>
        </w:p>
        <w:p>
          <w:pPr>
            <w:pStyle w:val="5"/>
            <w:tabs>
              <w:tab w:val="left" w:pos="880"/>
              <w:tab w:val="right" w:leader="dot" w:pos="8494"/>
            </w:tabs>
            <w:rPr>
              <w:rFonts w:eastAsiaTheme="minorEastAsia"/>
              <w:lang w:eastAsia="pt-BR"/>
            </w:rPr>
          </w:pPr>
          <w:r>
            <w:fldChar w:fldCharType="begin"/>
          </w:r>
          <w:r>
            <w:instrText xml:space="preserve"> HYPERLINK \l "_Toc3992698" </w:instrText>
          </w:r>
          <w:r>
            <w:fldChar w:fldCharType="separate"/>
          </w:r>
          <w:r>
            <w:rPr>
              <w:rStyle w:val="16"/>
              <w:rFonts w:eastAsia="Times New Roman" w:cstheme="minorHAnsi"/>
              <w:b/>
            </w:rPr>
            <w:t>3.2</w:t>
          </w:r>
          <w:r>
            <w:rPr>
              <w:rFonts w:eastAsiaTheme="minorEastAsia"/>
              <w:lang w:eastAsia="pt-BR"/>
            </w:rPr>
            <w:tab/>
          </w:r>
          <w:r>
            <w:rPr>
              <w:rStyle w:val="16"/>
              <w:rFonts w:eastAsia="Times New Roman" w:cstheme="minorHAnsi"/>
              <w:b/>
            </w:rPr>
            <w:t>Levantamento Batimétrico</w:t>
          </w:r>
          <w:r>
            <w:tab/>
          </w:r>
          <w:r>
            <w:fldChar w:fldCharType="begin"/>
          </w:r>
          <w:r>
            <w:instrText xml:space="preserve"> PAGEREF _Toc3992698 \h </w:instrText>
          </w:r>
          <w:r>
            <w:fldChar w:fldCharType="separate"/>
          </w:r>
          <w:r>
            <w:t>30</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"_Toc3992699" </w:instrText>
          </w:r>
          <w:r>
            <w:fldChar w:fldCharType="separate"/>
          </w:r>
          <w:r>
            <w:rPr>
              <w:rStyle w:val="16"/>
              <w:rFonts w:eastAsia="Times New Roman" w:cstheme="minorHAnsi"/>
              <w:b/>
            </w:rPr>
            <w:t>3.2.1</w:t>
          </w:r>
          <w:r>
            <w:rPr>
              <w:rFonts w:eastAsiaTheme="minorEastAsia"/>
              <w:lang w:eastAsia="pt-BR"/>
            </w:rPr>
            <w:tab/>
          </w:r>
          <w:r>
            <w:rPr>
              <w:rStyle w:val="16"/>
              <w:rFonts w:eastAsia="Times New Roman" w:cstheme="minorHAnsi"/>
              <w:b/>
            </w:rPr>
            <w:t>Apresentação dos Dados</w:t>
          </w:r>
          <w:r>
            <w:tab/>
          </w:r>
          <w:r>
            <w:fldChar w:fldCharType="begin"/>
          </w:r>
          <w:r>
            <w:instrText xml:space="preserve"> PAGEREF _Toc3992699 \h </w:instrText>
          </w:r>
          <w:r>
            <w:fldChar w:fldCharType="separate"/>
          </w:r>
          <w:r>
            <w:t>30</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"_Toc3992700" </w:instrText>
          </w:r>
          <w:r>
            <w:fldChar w:fldCharType="separate"/>
          </w:r>
          <w:r>
            <w:rPr>
              <w:rStyle w:val="16"/>
              <w:rFonts w:eastAsia="Times New Roman" w:cstheme="minorHAnsi"/>
              <w:b/>
            </w:rPr>
            <w:t>3.2.2</w:t>
          </w:r>
          <w:r>
            <w:rPr>
              <w:rFonts w:eastAsiaTheme="minorEastAsia"/>
              <w:lang w:eastAsia="pt-BR"/>
            </w:rPr>
            <w:tab/>
          </w:r>
          <w:r>
            <w:rPr>
              <w:rStyle w:val="16"/>
              <w:rFonts w:eastAsia="Times New Roman" w:cstheme="minorHAnsi"/>
              <w:b/>
            </w:rPr>
            <w:t>Planejamento do Trabalho</w:t>
          </w:r>
          <w:r>
            <w:tab/>
          </w:r>
          <w:r>
            <w:fldChar w:fldCharType="begin"/>
          </w:r>
          <w:r>
            <w:instrText xml:space="preserve"> PAGEREF _Toc3992700 \h </w:instrText>
          </w:r>
          <w:r>
            <w:fldChar w:fldCharType="separate"/>
          </w:r>
          <w:r>
            <w:t>30</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"_Toc3992701" </w:instrText>
          </w:r>
          <w:r>
            <w:fldChar w:fldCharType="separate"/>
          </w:r>
          <w:r>
            <w:rPr>
              <w:rStyle w:val="16"/>
              <w:rFonts w:eastAsia="Times New Roman" w:cstheme="minorHAnsi"/>
              <w:b/>
            </w:rPr>
            <w:t>3.2.3</w:t>
          </w:r>
          <w:r>
            <w:rPr>
              <w:rFonts w:eastAsiaTheme="minorEastAsia"/>
              <w:lang w:eastAsia="pt-BR"/>
            </w:rPr>
            <w:tab/>
          </w:r>
          <w:r>
            <w:rPr>
              <w:rStyle w:val="16"/>
              <w:rFonts w:eastAsia="Times New Roman" w:cstheme="minorHAnsi"/>
              <w:b/>
            </w:rPr>
            <w:t>Processamento de dados</w:t>
          </w:r>
          <w:r>
            <w:tab/>
          </w:r>
          <w:r>
            <w:fldChar w:fldCharType="begin"/>
          </w:r>
          <w:r>
            <w:instrText xml:space="preserve"> PAGEREF _Toc3992701 \h </w:instrText>
          </w:r>
          <w:r>
            <w:fldChar w:fldCharType="separate"/>
          </w:r>
          <w:r>
            <w:t>31</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"_Toc3992702" </w:instrText>
          </w:r>
          <w:r>
            <w:fldChar w:fldCharType="separate"/>
          </w:r>
          <w:r>
            <w:rPr>
              <w:rStyle w:val="16"/>
              <w:rFonts w:eastAsia="Times New Roman" w:cstheme="minorHAnsi"/>
              <w:b/>
            </w:rPr>
            <w:t>3.2.4</w:t>
          </w:r>
          <w:r>
            <w:rPr>
              <w:rFonts w:eastAsiaTheme="minorEastAsia"/>
              <w:lang w:eastAsia="pt-BR"/>
            </w:rPr>
            <w:tab/>
          </w:r>
          <w:r>
            <w:rPr>
              <w:rStyle w:val="16"/>
              <w:rFonts w:eastAsia="Times New Roman" w:cstheme="minorHAnsi"/>
              <w:b/>
            </w:rPr>
            <w:t>Elaboração dos produtos/documentos</w:t>
          </w:r>
          <w:r>
            <w:tab/>
          </w:r>
          <w:r>
            <w:fldChar w:fldCharType="begin"/>
          </w:r>
          <w:r>
            <w:instrText xml:space="preserve"> PAGEREF _Toc3992702 \h </w:instrText>
          </w:r>
          <w:r>
            <w:fldChar w:fldCharType="separate"/>
          </w:r>
          <w:r>
            <w:t>31</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"_Toc3992703" </w:instrText>
          </w:r>
          <w:r>
            <w:fldChar w:fldCharType="separate"/>
          </w:r>
          <w:r>
            <w:rPr>
              <w:rStyle w:val="16"/>
              <w:rFonts w:eastAsia="Times New Roman" w:cstheme="minorHAnsi"/>
              <w:b/>
            </w:rPr>
            <w:t>3.2.5</w:t>
          </w:r>
          <w:r>
            <w:rPr>
              <w:rFonts w:eastAsiaTheme="minorEastAsia"/>
              <w:lang w:eastAsia="pt-BR"/>
            </w:rPr>
            <w:tab/>
          </w:r>
          <w:r>
            <w:rPr>
              <w:rStyle w:val="16"/>
              <w:rFonts w:eastAsia="Times New Roman" w:cstheme="minorHAnsi"/>
              <w:b/>
            </w:rPr>
            <w:t>Emissão do relatório final</w:t>
          </w:r>
          <w:r>
            <w:tab/>
          </w:r>
          <w:r>
            <w:fldChar w:fldCharType="begin"/>
          </w:r>
          <w:r>
            <w:instrText xml:space="preserve"> PAGEREF _Toc3992703 \h </w:instrText>
          </w:r>
          <w:r>
            <w:fldChar w:fldCharType="separate"/>
          </w:r>
          <w:r>
            <w:t>31</w:t>
          </w:r>
          <w:r>
            <w:fldChar w:fldCharType="end"/>
          </w:r>
          <w:r>
            <w:fldChar w:fldCharType="end"/>
          </w:r>
        </w:p>
        <w:p>
          <w:pPr>
            <w:pStyle w:val="5"/>
            <w:tabs>
              <w:tab w:val="left" w:pos="880"/>
              <w:tab w:val="right" w:leader="dot" w:pos="8494"/>
            </w:tabs>
            <w:rPr>
              <w:rFonts w:eastAsiaTheme="minorEastAsia"/>
              <w:lang w:eastAsia="pt-BR"/>
            </w:rPr>
          </w:pPr>
          <w:r>
            <w:fldChar w:fldCharType="begin"/>
          </w:r>
          <w:r>
            <w:instrText xml:space="preserve"> HYPERLINK \l "_Toc3992704" </w:instrText>
          </w:r>
          <w:r>
            <w:fldChar w:fldCharType="separate"/>
          </w:r>
          <w:r>
            <w:rPr>
              <w:rStyle w:val="16"/>
              <w:rFonts w:eastAsia="Times New Roman" w:cstheme="minorHAnsi"/>
              <w:b/>
            </w:rPr>
            <w:t>3.3</w:t>
          </w:r>
          <w:r>
            <w:rPr>
              <w:rFonts w:eastAsiaTheme="minorEastAsia"/>
              <w:lang w:eastAsia="pt-BR"/>
            </w:rPr>
            <w:tab/>
          </w:r>
          <w:r>
            <w:rPr>
              <w:rStyle w:val="16"/>
              <w:rFonts w:eastAsia="Times New Roman" w:cstheme="minorHAnsi"/>
              <w:b/>
            </w:rPr>
            <w:t>Imageamento de Satélite</w:t>
          </w:r>
          <w:r>
            <w:tab/>
          </w:r>
          <w:r>
            <w:fldChar w:fldCharType="begin"/>
          </w:r>
          <w:r>
            <w:instrText xml:space="preserve"> PAGEREF _Toc3992704 \h </w:instrText>
          </w:r>
          <w:r>
            <w:fldChar w:fldCharType="separate"/>
          </w:r>
          <w:r>
            <w:t>32</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"_Toc3992705" </w:instrText>
          </w:r>
          <w:r>
            <w:fldChar w:fldCharType="separate"/>
          </w:r>
          <w:r>
            <w:rPr>
              <w:rStyle w:val="16"/>
              <w:rFonts w:eastAsia="Times New Roman" w:cstheme="minorHAnsi"/>
              <w:b/>
            </w:rPr>
            <w:t>3.3.1</w:t>
          </w:r>
          <w:r>
            <w:rPr>
              <w:rFonts w:eastAsiaTheme="minorEastAsia"/>
              <w:lang w:eastAsia="pt-BR"/>
            </w:rPr>
            <w:tab/>
          </w:r>
          <w:r>
            <w:rPr>
              <w:rStyle w:val="16"/>
              <w:rFonts w:eastAsia="Times New Roman" w:cstheme="minorHAnsi"/>
              <w:b/>
            </w:rPr>
            <w:t>Planejamento do Trabalho</w:t>
          </w:r>
          <w:r>
            <w:tab/>
          </w:r>
          <w:r>
            <w:fldChar w:fldCharType="begin"/>
          </w:r>
          <w:r>
            <w:instrText xml:space="preserve"> PAGEREF _Toc3992705 \h </w:instrText>
          </w:r>
          <w:r>
            <w:fldChar w:fldCharType="separate"/>
          </w:r>
          <w:r>
            <w:t>32</w:t>
          </w:r>
          <w:r>
            <w:fldChar w:fldCharType="end"/>
          </w:r>
          <w:r>
            <w:fldChar w:fldCharType="end"/>
          </w:r>
        </w:p>
        <w:p>
          <w:pPr>
            <w:pStyle w:val="12"/>
            <w:tabs>
              <w:tab w:val="left" w:pos="1320"/>
              <w:tab w:val="right" w:leader="dot" w:pos="8494"/>
            </w:tabs>
            <w:rPr>
              <w:rFonts w:eastAsiaTheme="minorEastAsia"/>
              <w:lang w:eastAsia="pt-BR"/>
            </w:rPr>
          </w:pPr>
          <w:r>
            <w:fldChar w:fldCharType="begin"/>
          </w:r>
          <w:r>
            <w:instrText xml:space="preserve"> HYPERLINK \l "_Toc3992706" </w:instrText>
          </w:r>
          <w:r>
            <w:fldChar w:fldCharType="separate"/>
          </w:r>
          <w:r>
            <w:rPr>
              <w:rStyle w:val="16"/>
              <w:rFonts w:eastAsia="Times New Roman" w:cstheme="minorHAnsi"/>
              <w:b/>
            </w:rPr>
            <w:t>3.3.2</w:t>
          </w:r>
          <w:r>
            <w:rPr>
              <w:rFonts w:eastAsiaTheme="minorEastAsia"/>
              <w:lang w:eastAsia="pt-BR"/>
            </w:rPr>
            <w:tab/>
          </w:r>
          <w:r>
            <w:rPr>
              <w:rStyle w:val="16"/>
              <w:rFonts w:eastAsia="Times New Roman" w:cstheme="minorHAnsi"/>
              <w:b/>
            </w:rPr>
            <w:t>Produtos a serem entregues</w:t>
          </w:r>
          <w:r>
            <w:tab/>
          </w:r>
          <w:r>
            <w:fldChar w:fldCharType="begin"/>
          </w:r>
          <w:r>
            <w:instrText xml:space="preserve"> PAGEREF _Toc3992706 \h </w:instrText>
          </w:r>
          <w:r>
            <w:fldChar w:fldCharType="separate"/>
          </w:r>
          <w:r>
            <w:t>33</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"_Toc3992707" </w:instrText>
          </w:r>
          <w:r>
            <w:fldChar w:fldCharType="separate"/>
          </w:r>
          <w:r>
            <w:rPr>
              <w:rStyle w:val="16"/>
              <w:rFonts w:eastAsia="Times New Roman" w:cstheme="minorHAnsi"/>
              <w:b/>
            </w:rPr>
            <w:t>4.</w:t>
          </w:r>
          <w:r>
            <w:rPr>
              <w:rFonts w:eastAsiaTheme="minorEastAsia"/>
              <w:lang w:eastAsia="pt-BR"/>
            </w:rPr>
            <w:tab/>
          </w:r>
          <w:r>
            <w:rPr>
              <w:rStyle w:val="16"/>
              <w:rFonts w:eastAsia="Times New Roman" w:cstheme="minorHAnsi"/>
              <w:b/>
            </w:rPr>
            <w:t>Fornecimento</w:t>
          </w:r>
          <w:r>
            <w:tab/>
          </w:r>
          <w:r>
            <w:fldChar w:fldCharType="begin"/>
          </w:r>
          <w:r>
            <w:instrText xml:space="preserve"> PAGEREF _Toc3992707 \h </w:instrText>
          </w:r>
          <w:r>
            <w:fldChar w:fldCharType="separate"/>
          </w:r>
          <w:r>
            <w:t>33</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"_Toc3992708" </w:instrText>
          </w:r>
          <w:r>
            <w:fldChar w:fldCharType="separate"/>
          </w:r>
          <w:r>
            <w:rPr>
              <w:rStyle w:val="16"/>
              <w:rFonts w:eastAsia="Times New Roman" w:cstheme="minorHAnsi"/>
              <w:b/>
            </w:rPr>
            <w:t>5.</w:t>
          </w:r>
          <w:r>
            <w:rPr>
              <w:rFonts w:eastAsiaTheme="minorEastAsia"/>
              <w:lang w:eastAsia="pt-BR"/>
            </w:rPr>
            <w:tab/>
          </w:r>
          <w:r>
            <w:rPr>
              <w:rStyle w:val="16"/>
              <w:rFonts w:eastAsia="Times New Roman" w:cstheme="minorHAnsi"/>
              <w:b/>
            </w:rPr>
            <w:t>Capacidade Técnica</w:t>
          </w:r>
          <w:r>
            <w:tab/>
          </w:r>
          <w:r>
            <w:fldChar w:fldCharType="begin"/>
          </w:r>
          <w:r>
            <w:instrText xml:space="preserve"> PAGEREF _Toc3992708 \h </w:instrText>
          </w:r>
          <w:r>
            <w:fldChar w:fldCharType="separate"/>
          </w:r>
          <w:r>
            <w:t>34</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"_Toc3992709" </w:instrText>
          </w:r>
          <w:r>
            <w:fldChar w:fldCharType="separate"/>
          </w:r>
          <w:r>
            <w:rPr>
              <w:rStyle w:val="16"/>
              <w:rFonts w:eastAsia="Times New Roman" w:cstheme="minorHAnsi"/>
              <w:b/>
            </w:rPr>
            <w:t>6.</w:t>
          </w:r>
          <w:r>
            <w:rPr>
              <w:rFonts w:eastAsiaTheme="minorEastAsia"/>
              <w:lang w:eastAsia="pt-BR"/>
            </w:rPr>
            <w:tab/>
          </w:r>
          <w:r>
            <w:rPr>
              <w:rStyle w:val="16"/>
              <w:rFonts w:eastAsia="Times New Roman" w:cstheme="minorHAnsi"/>
              <w:b/>
            </w:rPr>
            <w:t>Emissão de ART</w:t>
          </w:r>
          <w:r>
            <w:tab/>
          </w:r>
          <w:r>
            <w:fldChar w:fldCharType="begin"/>
          </w:r>
          <w:r>
            <w:instrText xml:space="preserve"> PAGEREF _Toc3992709 \h </w:instrText>
          </w:r>
          <w:r>
            <w:fldChar w:fldCharType="separate"/>
          </w:r>
          <w:r>
            <w:t>34</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"_Toc3992710" </w:instrText>
          </w:r>
          <w:r>
            <w:fldChar w:fldCharType="separate"/>
          </w:r>
          <w:r>
            <w:rPr>
              <w:rStyle w:val="16"/>
              <w:rFonts w:eastAsia="Times New Roman" w:cstheme="minorHAnsi"/>
              <w:b/>
            </w:rPr>
            <w:t>7.</w:t>
          </w:r>
          <w:r>
            <w:rPr>
              <w:rFonts w:eastAsiaTheme="minorEastAsia"/>
              <w:lang w:eastAsia="pt-BR"/>
            </w:rPr>
            <w:tab/>
          </w:r>
          <w:r>
            <w:rPr>
              <w:rStyle w:val="16"/>
              <w:rFonts w:eastAsia="Times New Roman" w:cstheme="minorHAnsi"/>
              <w:b/>
            </w:rPr>
            <w:t>Termo de Confidencialidade</w:t>
          </w:r>
          <w:r>
            <w:tab/>
          </w:r>
          <w:r>
            <w:fldChar w:fldCharType="begin"/>
          </w:r>
          <w:r>
            <w:instrText xml:space="preserve"> PAGEREF _Toc3992710 \h </w:instrText>
          </w:r>
          <w:r>
            <w:fldChar w:fldCharType="separate"/>
          </w:r>
          <w:r>
            <w:t>34</w:t>
          </w:r>
          <w:r>
            <w:fldChar w:fldCharType="end"/>
          </w:r>
          <w:r>
            <w:fldChar w:fldCharType="end"/>
          </w:r>
        </w:p>
        <w:p>
          <w:pPr>
            <w:pStyle w:val="13"/>
            <w:tabs>
              <w:tab w:val="left" w:pos="440"/>
              <w:tab w:val="right" w:leader="dot" w:pos="8494"/>
            </w:tabs>
            <w:rPr>
              <w:rFonts w:eastAsiaTheme="minorEastAsia"/>
              <w:lang w:eastAsia="pt-BR"/>
            </w:rPr>
          </w:pPr>
          <w:r>
            <w:fldChar w:fldCharType="begin"/>
          </w:r>
          <w:r>
            <w:instrText xml:space="preserve"> HYPERLINK \l "_Toc3992711" </w:instrText>
          </w:r>
          <w:r>
            <w:fldChar w:fldCharType="separate"/>
          </w:r>
          <w:r>
            <w:rPr>
              <w:rStyle w:val="16"/>
              <w:rFonts w:eastAsia="Times New Roman" w:cstheme="minorHAnsi"/>
              <w:b/>
            </w:rPr>
            <w:t>8.</w:t>
          </w:r>
          <w:r>
            <w:rPr>
              <w:rFonts w:eastAsiaTheme="minorEastAsia"/>
              <w:lang w:eastAsia="pt-BR"/>
            </w:rPr>
            <w:tab/>
          </w:r>
          <w:r>
            <w:rPr>
              <w:rStyle w:val="16"/>
              <w:rFonts w:eastAsia="Times New Roman" w:cstheme="minorHAnsi"/>
              <w:b/>
            </w:rPr>
            <w:t>Entrega do Material</w:t>
          </w:r>
          <w:r>
            <w:tab/>
          </w:r>
          <w:r>
            <w:fldChar w:fldCharType="begin"/>
          </w:r>
          <w:r>
            <w:instrText xml:space="preserve"> PAGEREF _Toc3992711 \h </w:instrText>
          </w:r>
          <w:r>
            <w:fldChar w:fldCharType="separate"/>
          </w:r>
          <w:r>
            <w:t>34</w:t>
          </w:r>
          <w:r>
            <w:fldChar w:fldCharType="end"/>
          </w:r>
          <w:r>
            <w:fldChar w:fldCharType="end"/>
          </w:r>
        </w:p>
        <w:p>
          <w:r>
            <w:rPr>
              <w:b/>
              <w:bCs/>
            </w:rPr>
            <w:fldChar w:fldCharType="end"/>
          </w:r>
        </w:p>
      </w:sdtContent>
    </w:sdt>
    <w:p>
      <w:pPr>
        <w:spacing w:after="0" w:line="360" w:lineRule="auto"/>
        <w:jc w:val="both"/>
        <w:rPr>
          <w:rFonts w:cstheme="minorHAnsi"/>
        </w:rPr>
      </w:pPr>
    </w:p>
    <w:p>
      <w:pPr>
        <w:spacing w:after="0" w:line="360" w:lineRule="auto"/>
        <w:jc w:val="both"/>
        <w:rPr>
          <w:rFonts w:cstheme="minorHAnsi"/>
        </w:rPr>
      </w:pPr>
    </w:p>
    <w:p>
      <w:pPr>
        <w:spacing w:after="0" w:line="360" w:lineRule="auto"/>
        <w:jc w:val="both"/>
        <w:rPr>
          <w:rFonts w:cstheme="minorHAnsi"/>
        </w:rPr>
      </w:pPr>
    </w:p>
    <w:p>
      <w:pPr>
        <w:spacing w:after="0" w:line="360" w:lineRule="auto"/>
        <w:jc w:val="both"/>
        <w:rPr>
          <w:rFonts w:cstheme="minorHAnsi"/>
        </w:rPr>
      </w:pPr>
    </w:p>
    <w:p>
      <w:pPr>
        <w:spacing w:after="0" w:line="360" w:lineRule="auto"/>
        <w:jc w:val="both"/>
        <w:rPr>
          <w:rFonts w:cstheme="minorHAnsi"/>
        </w:rPr>
      </w:pPr>
      <w:r>
        <w:rPr>
          <w:rFonts w:cstheme="minorHAnsi"/>
        </w:rPr>
        <w:t>Este documento especifica condições mínimas e critérios de qualidade</w:t>
      </w:r>
      <w:r>
        <w:rPr>
          <w:spacing w:val="-2"/>
        </w:rPr>
        <w:t xml:space="preserve"> </w:t>
      </w:r>
      <w:r>
        <w:rPr>
          <w:rFonts w:cstheme="minorHAnsi"/>
        </w:rPr>
        <w:t>para a elaboração do Plano de Segurança de Barragem – PBS de 4 barragens, a ser realizado por empresa especializada, visando cumprimento da Lei nº 12.334, de 20 de setembro de 2010.</w:t>
      </w:r>
    </w:p>
    <w:p>
      <w:pPr>
        <w:spacing w:after="0" w:line="360" w:lineRule="auto"/>
        <w:jc w:val="both"/>
        <w:rPr>
          <w:rFonts w:cstheme="minorHAnsi"/>
        </w:rPr>
      </w:pPr>
      <w:r>
        <w:rPr>
          <w:rFonts w:cstheme="minorHAnsi"/>
        </w:rPr>
        <w:t>As barragens estão localizadas no município de Nova Odessa/SP, sendo, 3 pertencentes ao Sistema de Captação Recanto e 1 ao Sistema de Captação Lopes. Estas, classificadas pelo DAEE quanto a Categoria de Risco – CRI e ao Dano Potencial Associado – DPA da seguinte forma:</w:t>
      </w:r>
    </w:p>
    <w:p>
      <w:pPr>
        <w:pStyle w:val="19"/>
        <w:numPr>
          <w:ilvl w:val="0"/>
          <w:numId w:val="14"/>
        </w:numPr>
        <w:spacing w:after="0" w:line="360" w:lineRule="auto"/>
        <w:ind w:left="-142" w:firstLine="426"/>
        <w:jc w:val="both"/>
        <w:rPr>
          <w:rFonts w:cstheme="minorHAnsi"/>
        </w:rPr>
      </w:pPr>
      <w:r>
        <w:rPr>
          <w:rFonts w:cstheme="minorHAnsi"/>
        </w:rPr>
        <w:t>Barragem Córrego Recanto 1 – “B”;</w:t>
      </w:r>
    </w:p>
    <w:p>
      <w:pPr>
        <w:pStyle w:val="19"/>
        <w:numPr>
          <w:ilvl w:val="0"/>
          <w:numId w:val="14"/>
        </w:numPr>
        <w:spacing w:after="0" w:line="360" w:lineRule="auto"/>
        <w:ind w:left="-142" w:firstLine="426"/>
        <w:jc w:val="both"/>
        <w:rPr>
          <w:rFonts w:cstheme="minorHAnsi"/>
        </w:rPr>
      </w:pPr>
      <w:r>
        <w:rPr>
          <w:rFonts w:cstheme="minorHAnsi"/>
        </w:rPr>
        <w:t>Barragens Córrego Recanto 2 e 3 – “A”;</w:t>
      </w:r>
    </w:p>
    <w:p>
      <w:pPr>
        <w:pStyle w:val="19"/>
        <w:numPr>
          <w:ilvl w:val="0"/>
          <w:numId w:val="14"/>
        </w:numPr>
        <w:spacing w:after="0" w:line="360" w:lineRule="auto"/>
        <w:ind w:left="-142" w:firstLine="426"/>
        <w:jc w:val="both"/>
        <w:rPr>
          <w:rFonts w:cstheme="minorHAnsi"/>
        </w:rPr>
      </w:pPr>
      <w:r>
        <w:rPr>
          <w:rFonts w:cstheme="minorHAnsi"/>
        </w:rPr>
        <w:t>Barragem Córrego Lopes 2 – “A”.</w:t>
      </w:r>
    </w:p>
    <w:p>
      <w:pPr>
        <w:pStyle w:val="2"/>
        <w:numPr>
          <w:ilvl w:val="0"/>
          <w:numId w:val="15"/>
        </w:numPr>
        <w:spacing w:line="480" w:lineRule="auto"/>
        <w:ind w:left="357" w:hanging="357"/>
        <w:rPr>
          <w:rFonts w:eastAsia="Times New Roman" w:asciiTheme="minorHAnsi" w:hAnsiTheme="minorHAnsi" w:cstheme="minorHAnsi"/>
          <w:b/>
          <w:color w:val="auto"/>
          <w:sz w:val="24"/>
          <w:szCs w:val="24"/>
        </w:rPr>
      </w:pPr>
      <w:bookmarkStart w:id="0" w:name="_Toc3992685"/>
      <w:r>
        <w:rPr>
          <w:rFonts w:eastAsia="Times New Roman" w:asciiTheme="minorHAnsi" w:hAnsiTheme="minorHAnsi" w:cstheme="minorHAnsi"/>
          <w:b/>
          <w:color w:val="auto"/>
          <w:sz w:val="24"/>
          <w:szCs w:val="24"/>
        </w:rPr>
        <w:t>Objetivo</w:t>
      </w:r>
      <w:bookmarkEnd w:id="0"/>
    </w:p>
    <w:p>
      <w:pPr>
        <w:spacing w:after="0" w:line="360" w:lineRule="auto"/>
        <w:jc w:val="both"/>
        <w:rPr>
          <w:rFonts w:cstheme="minorHAnsi"/>
        </w:rPr>
      </w:pPr>
      <w:r>
        <w:rPr>
          <w:rFonts w:cstheme="minorHAnsi"/>
        </w:rPr>
        <w:t>O objetivo principal é a realização da aprovação deste plano junto ao Departamento de Águas e Energia Elétrica (DAEE), e manter a barragem atualizada nos assuntos regulatórios de Segurança de Barragens abrangendo:</w:t>
      </w:r>
    </w:p>
    <w:p>
      <w:pPr>
        <w:pStyle w:val="19"/>
        <w:numPr>
          <w:ilvl w:val="0"/>
          <w:numId w:val="14"/>
        </w:numPr>
        <w:spacing w:after="0" w:line="360" w:lineRule="auto"/>
        <w:ind w:left="-142" w:firstLine="426"/>
        <w:jc w:val="both"/>
        <w:rPr>
          <w:rFonts w:cstheme="minorHAnsi"/>
        </w:rPr>
      </w:pPr>
      <w:bookmarkStart w:id="1" w:name="_Hlk3194045"/>
      <w:r>
        <w:rPr>
          <w:rFonts w:cstheme="minorHAnsi"/>
        </w:rPr>
        <w:t>Avaliação dos Documentos e Descrição das Estruturas Existentes;</w:t>
      </w:r>
    </w:p>
    <w:p>
      <w:pPr>
        <w:pStyle w:val="19"/>
        <w:numPr>
          <w:ilvl w:val="0"/>
          <w:numId w:val="14"/>
        </w:numPr>
        <w:spacing w:after="0" w:line="360" w:lineRule="auto"/>
        <w:ind w:left="-142" w:firstLine="426"/>
        <w:jc w:val="both"/>
        <w:rPr>
          <w:rFonts w:cstheme="minorHAnsi"/>
        </w:rPr>
      </w:pPr>
      <w:r>
        <w:rPr>
          <w:rFonts w:cstheme="minorHAnsi"/>
        </w:rPr>
        <w:t>Inspeção Regular de Segurança com emissão de Relatório;</w:t>
      </w:r>
    </w:p>
    <w:p>
      <w:pPr>
        <w:pStyle w:val="19"/>
        <w:numPr>
          <w:ilvl w:val="0"/>
          <w:numId w:val="14"/>
        </w:numPr>
        <w:spacing w:after="0" w:line="360" w:lineRule="auto"/>
        <w:ind w:left="-142" w:firstLine="426"/>
        <w:jc w:val="both"/>
        <w:rPr>
          <w:rFonts w:cstheme="minorHAnsi"/>
        </w:rPr>
      </w:pPr>
      <w:r>
        <w:rPr>
          <w:rFonts w:cstheme="minorHAnsi"/>
        </w:rPr>
        <w:t>Inspeção visual detalhada das estruturas com emissão de relatório técnico;</w:t>
      </w:r>
    </w:p>
    <w:p>
      <w:pPr>
        <w:pStyle w:val="19"/>
        <w:numPr>
          <w:ilvl w:val="0"/>
          <w:numId w:val="14"/>
        </w:numPr>
        <w:spacing w:after="0" w:line="360" w:lineRule="auto"/>
        <w:ind w:left="-142" w:firstLine="426"/>
        <w:jc w:val="both"/>
        <w:rPr>
          <w:rFonts w:cstheme="minorHAnsi"/>
        </w:rPr>
      </w:pPr>
      <w:r>
        <w:rPr>
          <w:rFonts w:cstheme="minorHAnsi"/>
        </w:rPr>
        <w:t>Classificação de Segurança da Barragem;</w:t>
      </w:r>
    </w:p>
    <w:p>
      <w:pPr>
        <w:pStyle w:val="19"/>
        <w:numPr>
          <w:ilvl w:val="0"/>
          <w:numId w:val="14"/>
        </w:numPr>
        <w:spacing w:after="0" w:line="360" w:lineRule="auto"/>
        <w:ind w:left="-142" w:firstLine="426"/>
        <w:jc w:val="both"/>
        <w:rPr>
          <w:rFonts w:cstheme="minorHAnsi"/>
        </w:rPr>
      </w:pPr>
      <w:r>
        <w:rPr>
          <w:rFonts w:cstheme="minorHAnsi"/>
        </w:rPr>
        <w:t>Estudos Hidrológicos;</w:t>
      </w:r>
    </w:p>
    <w:p>
      <w:pPr>
        <w:pStyle w:val="19"/>
        <w:numPr>
          <w:ilvl w:val="0"/>
          <w:numId w:val="14"/>
        </w:numPr>
        <w:spacing w:after="0" w:line="360" w:lineRule="auto"/>
        <w:ind w:left="-142" w:firstLine="426"/>
        <w:jc w:val="both"/>
        <w:rPr>
          <w:rFonts w:cstheme="minorHAnsi"/>
        </w:rPr>
      </w:pPr>
      <w:r>
        <w:rPr>
          <w:rFonts w:cstheme="minorHAnsi"/>
        </w:rPr>
        <w:t>Laudo / Estudo de Análise de Estabilidade;</w:t>
      </w:r>
    </w:p>
    <w:p>
      <w:pPr>
        <w:pStyle w:val="19"/>
        <w:numPr>
          <w:ilvl w:val="0"/>
          <w:numId w:val="14"/>
        </w:numPr>
        <w:spacing w:after="0" w:line="360" w:lineRule="auto"/>
        <w:ind w:left="-142" w:firstLine="426"/>
        <w:jc w:val="both"/>
        <w:rPr>
          <w:rFonts w:cstheme="minorHAnsi"/>
        </w:rPr>
      </w:pPr>
      <w:r>
        <w:rPr>
          <w:rFonts w:cstheme="minorHAnsi"/>
        </w:rPr>
        <w:t>Levantamento topobatimétrico;</w:t>
      </w:r>
    </w:p>
    <w:p>
      <w:pPr>
        <w:pStyle w:val="19"/>
        <w:numPr>
          <w:ilvl w:val="0"/>
          <w:numId w:val="14"/>
        </w:numPr>
        <w:spacing w:after="0" w:line="360" w:lineRule="auto"/>
        <w:ind w:left="-142" w:firstLine="426"/>
        <w:jc w:val="both"/>
        <w:rPr>
          <w:rFonts w:cstheme="minorHAnsi"/>
        </w:rPr>
      </w:pPr>
      <w:r>
        <w:rPr>
          <w:rFonts w:cstheme="minorHAnsi"/>
        </w:rPr>
        <w:t>Estudo de Ruptura de Barragem e Propagação da Onda de Cheia por Modelagem Hidrográfica;</w:t>
      </w:r>
    </w:p>
    <w:p>
      <w:pPr>
        <w:pStyle w:val="19"/>
        <w:numPr>
          <w:ilvl w:val="0"/>
          <w:numId w:val="14"/>
        </w:numPr>
        <w:spacing w:after="0" w:line="360" w:lineRule="auto"/>
        <w:ind w:left="-142" w:firstLine="426"/>
        <w:jc w:val="both"/>
        <w:rPr>
          <w:rFonts w:cstheme="minorHAnsi"/>
        </w:rPr>
      </w:pPr>
      <w:r>
        <w:rPr>
          <w:rFonts w:cstheme="minorHAnsi"/>
        </w:rPr>
        <w:t>Detecção, Avaliação, Classificação e Ações esperadas para cada nível de resposta;</w:t>
      </w:r>
    </w:p>
    <w:p>
      <w:pPr>
        <w:pStyle w:val="19"/>
        <w:numPr>
          <w:ilvl w:val="0"/>
          <w:numId w:val="14"/>
        </w:numPr>
        <w:spacing w:after="0" w:line="360" w:lineRule="auto"/>
        <w:ind w:left="-142" w:firstLine="426"/>
        <w:jc w:val="both"/>
        <w:rPr>
          <w:rFonts w:cstheme="minorHAnsi"/>
        </w:rPr>
      </w:pPr>
      <w:r>
        <w:rPr>
          <w:rFonts w:cstheme="minorHAnsi"/>
        </w:rPr>
        <w:t>Geração de Mapas de Inundação;</w:t>
      </w:r>
    </w:p>
    <w:p>
      <w:pPr>
        <w:pStyle w:val="19"/>
        <w:numPr>
          <w:ilvl w:val="0"/>
          <w:numId w:val="14"/>
        </w:numPr>
        <w:spacing w:after="0" w:line="360" w:lineRule="auto"/>
        <w:ind w:left="-142" w:firstLine="426"/>
        <w:jc w:val="both"/>
        <w:rPr>
          <w:rFonts w:cstheme="minorHAnsi"/>
        </w:rPr>
      </w:pPr>
      <w:r>
        <w:rPr>
          <w:rFonts w:cstheme="minorHAnsi"/>
        </w:rPr>
        <w:t>Elaboração do Plano de Ação e Emergência - PAE;</w:t>
      </w:r>
    </w:p>
    <w:p>
      <w:pPr>
        <w:pStyle w:val="19"/>
        <w:numPr>
          <w:ilvl w:val="0"/>
          <w:numId w:val="14"/>
        </w:numPr>
        <w:spacing w:after="0" w:line="360" w:lineRule="auto"/>
        <w:ind w:left="-142" w:firstLine="426"/>
        <w:jc w:val="both"/>
        <w:rPr>
          <w:rFonts w:cstheme="minorHAnsi"/>
        </w:rPr>
      </w:pPr>
      <w:r>
        <w:rPr>
          <w:rFonts w:cstheme="minorHAnsi"/>
        </w:rPr>
        <w:t>Treinamento Interno;</w:t>
      </w:r>
    </w:p>
    <w:p>
      <w:pPr>
        <w:pStyle w:val="19"/>
        <w:numPr>
          <w:ilvl w:val="0"/>
          <w:numId w:val="14"/>
        </w:numPr>
        <w:spacing w:after="0" w:line="360" w:lineRule="auto"/>
        <w:ind w:left="-142" w:firstLine="426"/>
        <w:jc w:val="both"/>
        <w:rPr>
          <w:rFonts w:cstheme="minorHAnsi"/>
        </w:rPr>
      </w:pPr>
      <w:r>
        <w:rPr>
          <w:rFonts w:cstheme="minorHAnsi"/>
        </w:rPr>
        <w:t>Entrega para as Defesas Civis Municipais e Estadual.</w:t>
      </w:r>
    </w:p>
    <w:bookmarkEnd w:id="1"/>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2" w:name="_Toc3992686"/>
      <w:r>
        <w:rPr>
          <w:rFonts w:eastAsia="Times New Roman" w:asciiTheme="minorHAnsi" w:hAnsiTheme="minorHAnsi" w:cstheme="minorHAnsi"/>
          <w:b/>
          <w:color w:val="auto"/>
          <w:sz w:val="24"/>
          <w:szCs w:val="24"/>
        </w:rPr>
        <w:t>Conteúdo</w:t>
      </w:r>
      <w:bookmarkEnd w:id="2"/>
    </w:p>
    <w:p>
      <w:pPr>
        <w:pStyle w:val="3"/>
        <w:numPr>
          <w:ilvl w:val="1"/>
          <w:numId w:val="16"/>
        </w:numPr>
        <w:spacing w:line="360" w:lineRule="auto"/>
        <w:rPr>
          <w:rFonts w:eastAsia="Times New Roman" w:asciiTheme="minorHAnsi" w:hAnsiTheme="minorHAnsi" w:cstheme="minorHAnsi"/>
          <w:b/>
          <w:color w:val="auto"/>
          <w:sz w:val="24"/>
          <w:szCs w:val="24"/>
        </w:rPr>
      </w:pPr>
      <w:bookmarkStart w:id="3" w:name="_Toc3992687"/>
      <w:r>
        <w:rPr>
          <w:rFonts w:eastAsia="Times New Roman" w:asciiTheme="minorHAnsi" w:hAnsiTheme="minorHAnsi" w:cstheme="minorHAnsi"/>
          <w:b/>
          <w:color w:val="auto"/>
          <w:sz w:val="24"/>
          <w:szCs w:val="24"/>
        </w:rPr>
        <w:t>Plano de Segurança de Barragem - PSB</w:t>
      </w:r>
      <w:bookmarkEnd w:id="3"/>
    </w:p>
    <w:p>
      <w:pPr>
        <w:spacing w:after="0" w:line="360" w:lineRule="auto"/>
        <w:jc w:val="both"/>
        <w:rPr>
          <w:rFonts w:cstheme="minorHAnsi"/>
        </w:rPr>
      </w:pPr>
      <w:r>
        <w:rPr>
          <w:rFonts w:cstheme="minorHAnsi"/>
        </w:rPr>
        <w:t>O PSB consiste em um instrumento da Política Nacional de Segurança de Barragens, e deve conter dados técnicos da barragem, de construção, operação manutenção bem como descrição do estado atual da segurança por meio de inspeções visuais, servindo como ferramenta de planejamento de gestão da segurança da barragem.</w:t>
      </w:r>
    </w:p>
    <w:p>
      <w:pPr>
        <w:spacing w:after="0" w:line="360" w:lineRule="auto"/>
        <w:jc w:val="both"/>
        <w:rPr>
          <w:rFonts w:cstheme="minorHAnsi"/>
        </w:rPr>
      </w:pPr>
      <w:r>
        <w:rPr>
          <w:rFonts w:cstheme="minorHAnsi"/>
        </w:rPr>
        <w:t>Para auxiliar na elaboração dos volumes, a CODEN se compromete a compartilhar as informações que tivermos referente as barragens, tais como projetos, registros e documentos, e a CONTRATADA deverá elaborar os estudos, documentos e/ou levantamentos necessários para elaboração do Plano e sua garantia de qualidade e segurança.</w:t>
      </w:r>
    </w:p>
    <w:p>
      <w:pPr>
        <w:spacing w:after="0" w:line="360" w:lineRule="auto"/>
        <w:jc w:val="both"/>
        <w:rPr>
          <w:rFonts w:cstheme="minorHAnsi"/>
        </w:rPr>
      </w:pPr>
      <w:r>
        <w:rPr>
          <w:rFonts w:cstheme="minorHAnsi"/>
        </w:rPr>
        <w:t>A seguir estrutura básica do PSB:</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4" w:name="_Toc3992688"/>
      <w:r>
        <w:rPr>
          <w:rFonts w:eastAsia="Times New Roman" w:asciiTheme="minorHAnsi" w:hAnsiTheme="minorHAnsi" w:cstheme="minorHAnsi"/>
          <w:b/>
          <w:color w:val="auto"/>
        </w:rPr>
        <w:t>Volume I</w:t>
      </w:r>
      <w:bookmarkEnd w:id="4"/>
    </w:p>
    <w:p>
      <w:pPr>
        <w:spacing w:after="0" w:line="360" w:lineRule="auto"/>
        <w:jc w:val="both"/>
        <w:rPr>
          <w:rFonts w:cstheme="minorHAnsi"/>
        </w:rPr>
      </w:pPr>
      <w:r>
        <w:rPr>
          <w:rFonts w:cstheme="minorHAnsi"/>
        </w:rPr>
        <w:t>Informações gerais e declaração de classificação da barragem quanto à categoria de risco – CRI e ao dano potencial associado.</w:t>
      </w:r>
    </w:p>
    <w:p>
      <w:pPr>
        <w:pStyle w:val="19"/>
        <w:numPr>
          <w:ilvl w:val="1"/>
          <w:numId w:val="17"/>
        </w:numPr>
        <w:spacing w:before="240" w:after="0" w:line="360" w:lineRule="auto"/>
        <w:ind w:left="425" w:hanging="425"/>
        <w:jc w:val="both"/>
        <w:rPr>
          <w:rFonts w:cstheme="minorHAnsi"/>
          <w:b/>
        </w:rPr>
      </w:pPr>
      <w:r>
        <w:rPr>
          <w:rFonts w:cstheme="minorHAnsi"/>
          <w:b/>
        </w:rPr>
        <w:t>Classificação da barragem quanto à Categoria de Risco - CRI</w:t>
      </w:r>
    </w:p>
    <w:p>
      <w:pPr>
        <w:spacing w:after="0" w:line="360" w:lineRule="auto"/>
        <w:jc w:val="both"/>
        <w:rPr>
          <w:rFonts w:cstheme="minorHAnsi"/>
        </w:rPr>
      </w:pPr>
      <w:r>
        <w:rPr>
          <w:rFonts w:cstheme="minorHAnsi"/>
        </w:rPr>
        <w:t>A classificação da barragem quanto à Categoria de Risco - CRI será efetuada conforme a Resolução Normativa nº 236, da Agência Nacional de Águas - ANA, segundo as seguintes faixas de classificação:</w:t>
      </w:r>
    </w:p>
    <w:p>
      <w:pPr>
        <w:pStyle w:val="19"/>
        <w:numPr>
          <w:ilvl w:val="0"/>
          <w:numId w:val="14"/>
        </w:numPr>
        <w:spacing w:after="0" w:line="360" w:lineRule="auto"/>
        <w:ind w:left="-142" w:firstLine="426"/>
        <w:jc w:val="both"/>
        <w:rPr>
          <w:rFonts w:cstheme="minorHAnsi"/>
        </w:rPr>
      </w:pPr>
      <w:r>
        <w:rPr>
          <w:rFonts w:cstheme="minorHAnsi"/>
        </w:rPr>
        <w:t>Risco Alto;</w:t>
      </w:r>
    </w:p>
    <w:p>
      <w:pPr>
        <w:pStyle w:val="19"/>
        <w:numPr>
          <w:ilvl w:val="0"/>
          <w:numId w:val="14"/>
        </w:numPr>
        <w:spacing w:after="0" w:line="360" w:lineRule="auto"/>
        <w:ind w:left="-142" w:firstLine="426"/>
        <w:jc w:val="both"/>
        <w:rPr>
          <w:rFonts w:cstheme="minorHAnsi"/>
        </w:rPr>
      </w:pPr>
      <w:r>
        <w:rPr>
          <w:rFonts w:cstheme="minorHAnsi"/>
        </w:rPr>
        <w:t>Risco Médio;</w:t>
      </w:r>
    </w:p>
    <w:p>
      <w:pPr>
        <w:pStyle w:val="19"/>
        <w:numPr>
          <w:ilvl w:val="0"/>
          <w:numId w:val="14"/>
        </w:numPr>
        <w:spacing w:after="0" w:line="360" w:lineRule="auto"/>
        <w:ind w:left="-142" w:firstLine="426"/>
        <w:jc w:val="both"/>
        <w:rPr>
          <w:rFonts w:cstheme="minorHAnsi"/>
        </w:rPr>
      </w:pPr>
      <w:r>
        <w:rPr>
          <w:rFonts w:cstheme="minorHAnsi"/>
        </w:rPr>
        <w:t>Risco Baixo.</w:t>
      </w:r>
    </w:p>
    <w:p>
      <w:pPr>
        <w:spacing w:after="0" w:line="360" w:lineRule="auto"/>
        <w:jc w:val="both"/>
        <w:rPr>
          <w:rFonts w:cstheme="minorHAnsi"/>
        </w:rPr>
      </w:pPr>
      <w:r>
        <w:rPr>
          <w:rFonts w:cstheme="minorHAnsi"/>
        </w:rPr>
        <w:t>Quanto à categoria de risco, a barragem será classificada de acordo com os aspectos da própria barragem que possam influenciar na possibilidade de ocorrência de acidente, levando se em conta os seguintes critérios gerais:</w:t>
      </w:r>
    </w:p>
    <w:p>
      <w:pPr>
        <w:pStyle w:val="19"/>
        <w:numPr>
          <w:ilvl w:val="0"/>
          <w:numId w:val="18"/>
        </w:numPr>
        <w:spacing w:after="0" w:line="360" w:lineRule="auto"/>
        <w:ind w:left="385" w:leftChars="0" w:right="0" w:rightChars="0"/>
        <w:jc w:val="both"/>
        <w:rPr>
          <w:rFonts w:cstheme="minorHAnsi"/>
          <w:b/>
        </w:rPr>
      </w:pPr>
      <w:r>
        <w:rPr>
          <w:rFonts w:cstheme="minorHAnsi"/>
          <w:b/>
        </w:rPr>
        <w:t>Características técnicas</w:t>
      </w:r>
    </w:p>
    <w:p>
      <w:pPr>
        <w:pStyle w:val="19"/>
        <w:numPr>
          <w:ilvl w:val="0"/>
          <w:numId w:val="19"/>
        </w:numPr>
        <w:spacing w:after="0" w:line="360" w:lineRule="auto"/>
        <w:jc w:val="both"/>
        <w:rPr>
          <w:rFonts w:cstheme="minorHAnsi"/>
        </w:rPr>
      </w:pPr>
      <w:r>
        <w:rPr>
          <w:rFonts w:cstheme="minorHAnsi"/>
        </w:rPr>
        <w:t>Altura do barramento;</w:t>
      </w:r>
    </w:p>
    <w:p>
      <w:pPr>
        <w:pStyle w:val="19"/>
        <w:numPr>
          <w:ilvl w:val="0"/>
          <w:numId w:val="19"/>
        </w:numPr>
        <w:spacing w:after="0" w:line="360" w:lineRule="auto"/>
        <w:jc w:val="both"/>
        <w:rPr>
          <w:rFonts w:cstheme="minorHAnsi"/>
        </w:rPr>
      </w:pPr>
      <w:r>
        <w:rPr>
          <w:rFonts w:cstheme="minorHAnsi"/>
        </w:rPr>
        <w:t>Comprimento do coroamento da barragem;</w:t>
      </w:r>
    </w:p>
    <w:p>
      <w:pPr>
        <w:pStyle w:val="19"/>
        <w:numPr>
          <w:ilvl w:val="0"/>
          <w:numId w:val="19"/>
        </w:numPr>
        <w:spacing w:after="0" w:line="360" w:lineRule="auto"/>
        <w:jc w:val="both"/>
        <w:rPr>
          <w:rFonts w:cstheme="minorHAnsi"/>
        </w:rPr>
      </w:pPr>
      <w:r>
        <w:rPr>
          <w:rFonts w:cstheme="minorHAnsi"/>
        </w:rPr>
        <w:t>Tipo da barragem quanto ao material de construção;</w:t>
      </w:r>
    </w:p>
    <w:p>
      <w:pPr>
        <w:pStyle w:val="19"/>
        <w:numPr>
          <w:ilvl w:val="0"/>
          <w:numId w:val="19"/>
        </w:numPr>
        <w:spacing w:after="0" w:line="360" w:lineRule="auto"/>
        <w:jc w:val="both"/>
        <w:rPr>
          <w:rFonts w:cstheme="minorHAnsi"/>
        </w:rPr>
      </w:pPr>
      <w:r>
        <w:rPr>
          <w:rFonts w:cstheme="minorHAnsi"/>
        </w:rPr>
        <w:t>Tipo de fundação da barragem;</w:t>
      </w:r>
    </w:p>
    <w:p>
      <w:pPr>
        <w:pStyle w:val="19"/>
        <w:numPr>
          <w:ilvl w:val="0"/>
          <w:numId w:val="19"/>
        </w:numPr>
        <w:spacing w:after="0" w:line="360" w:lineRule="auto"/>
        <w:jc w:val="both"/>
        <w:rPr>
          <w:rFonts w:cstheme="minorHAnsi"/>
        </w:rPr>
      </w:pPr>
      <w:r>
        <w:rPr>
          <w:rFonts w:cstheme="minorHAnsi"/>
        </w:rPr>
        <w:t>Idade da barragem;</w:t>
      </w:r>
    </w:p>
    <w:p>
      <w:pPr>
        <w:pStyle w:val="19"/>
        <w:numPr>
          <w:ilvl w:val="0"/>
          <w:numId w:val="19"/>
        </w:numPr>
        <w:spacing w:after="0" w:line="360" w:lineRule="auto"/>
        <w:jc w:val="both"/>
        <w:rPr>
          <w:rFonts w:cstheme="minorHAnsi"/>
        </w:rPr>
      </w:pPr>
      <w:r>
        <w:rPr>
          <w:rFonts w:cstheme="minorHAnsi"/>
        </w:rPr>
        <w:t>Tempo de recorrência da vazão de projeto do vertedouro;</w:t>
      </w:r>
    </w:p>
    <w:p>
      <w:pPr>
        <w:spacing w:after="0" w:line="360" w:lineRule="auto"/>
        <w:jc w:val="both"/>
        <w:rPr>
          <w:rFonts w:cstheme="minorHAnsi"/>
        </w:rPr>
      </w:pPr>
    </w:p>
    <w:p>
      <w:pPr>
        <w:pStyle w:val="19"/>
        <w:numPr>
          <w:ilvl w:val="0"/>
          <w:numId w:val="18"/>
        </w:numPr>
        <w:spacing w:after="0" w:line="360" w:lineRule="auto"/>
        <w:ind w:left="385" w:leftChars="0" w:right="0" w:rightChars="0" w:firstLine="0" w:firstLineChars="0"/>
        <w:jc w:val="both"/>
        <w:rPr>
          <w:rFonts w:cstheme="minorHAnsi"/>
          <w:b/>
        </w:rPr>
      </w:pPr>
      <w:r>
        <w:rPr>
          <w:rFonts w:cstheme="minorHAnsi"/>
          <w:b/>
        </w:rPr>
        <w:t>Estado de conservação da barragem</w:t>
      </w:r>
    </w:p>
    <w:p>
      <w:pPr>
        <w:pStyle w:val="19"/>
        <w:numPr>
          <w:ilvl w:val="0"/>
          <w:numId w:val="19"/>
        </w:numPr>
        <w:spacing w:after="0" w:line="360" w:lineRule="auto"/>
        <w:jc w:val="both"/>
        <w:rPr>
          <w:rFonts w:cstheme="minorHAnsi"/>
        </w:rPr>
      </w:pPr>
      <w:r>
        <w:rPr>
          <w:rFonts w:cstheme="minorHAnsi"/>
        </w:rPr>
        <w:t>Confiabilidade das estruturas extravasoras;</w:t>
      </w:r>
    </w:p>
    <w:p>
      <w:pPr>
        <w:pStyle w:val="19"/>
        <w:numPr>
          <w:ilvl w:val="0"/>
          <w:numId w:val="19"/>
        </w:numPr>
        <w:spacing w:after="0" w:line="360" w:lineRule="auto"/>
        <w:jc w:val="both"/>
        <w:rPr>
          <w:rFonts w:cstheme="minorHAnsi"/>
        </w:rPr>
      </w:pPr>
      <w:r>
        <w:rPr>
          <w:rFonts w:cstheme="minorHAnsi"/>
        </w:rPr>
        <w:t>Confiabilidade das estruturas de captação;</w:t>
      </w:r>
    </w:p>
    <w:p>
      <w:pPr>
        <w:pStyle w:val="19"/>
        <w:numPr>
          <w:ilvl w:val="0"/>
          <w:numId w:val="19"/>
        </w:numPr>
        <w:spacing w:after="0" w:line="360" w:lineRule="auto"/>
        <w:jc w:val="both"/>
        <w:rPr>
          <w:rFonts w:cstheme="minorHAnsi"/>
        </w:rPr>
      </w:pPr>
      <w:r>
        <w:rPr>
          <w:rFonts w:cstheme="minorHAnsi"/>
        </w:rPr>
        <w:t>Percolação;</w:t>
      </w:r>
    </w:p>
    <w:p>
      <w:pPr>
        <w:pStyle w:val="19"/>
        <w:numPr>
          <w:ilvl w:val="0"/>
          <w:numId w:val="19"/>
        </w:numPr>
        <w:spacing w:after="0" w:line="360" w:lineRule="auto"/>
        <w:jc w:val="both"/>
        <w:rPr>
          <w:rFonts w:cstheme="minorHAnsi"/>
        </w:rPr>
      </w:pPr>
      <w:r>
        <w:rPr>
          <w:rFonts w:cstheme="minorHAnsi"/>
        </w:rPr>
        <w:t>Deformação e recalques;</w:t>
      </w:r>
    </w:p>
    <w:p>
      <w:pPr>
        <w:pStyle w:val="19"/>
        <w:numPr>
          <w:ilvl w:val="0"/>
          <w:numId w:val="19"/>
        </w:numPr>
        <w:spacing w:after="0" w:line="360" w:lineRule="auto"/>
        <w:jc w:val="both"/>
        <w:rPr>
          <w:rFonts w:cstheme="minorHAnsi"/>
        </w:rPr>
      </w:pPr>
      <w:r>
        <w:rPr>
          <w:rFonts w:cstheme="minorHAnsi"/>
        </w:rPr>
        <w:t>Deterioração de taludes;</w:t>
      </w:r>
    </w:p>
    <w:p>
      <w:pPr>
        <w:spacing w:after="0" w:line="360" w:lineRule="auto"/>
        <w:jc w:val="both"/>
        <w:rPr>
          <w:rFonts w:cstheme="minorHAnsi"/>
        </w:rPr>
      </w:pPr>
    </w:p>
    <w:p>
      <w:pPr>
        <w:pStyle w:val="19"/>
        <w:numPr>
          <w:ilvl w:val="0"/>
          <w:numId w:val="18"/>
        </w:numPr>
        <w:spacing w:after="0" w:line="360" w:lineRule="auto"/>
        <w:ind w:left="385" w:leftChars="0" w:right="0" w:rightChars="0" w:firstLine="0" w:firstLineChars="0"/>
        <w:jc w:val="both"/>
        <w:rPr>
          <w:rFonts w:cstheme="minorHAnsi"/>
          <w:b/>
        </w:rPr>
      </w:pPr>
      <w:r>
        <w:rPr>
          <w:rFonts w:cstheme="minorHAnsi"/>
          <w:b/>
        </w:rPr>
        <w:t>Plano de Segurança da barragem</w:t>
      </w:r>
    </w:p>
    <w:p>
      <w:pPr>
        <w:pStyle w:val="19"/>
        <w:numPr>
          <w:ilvl w:val="0"/>
          <w:numId w:val="19"/>
        </w:numPr>
        <w:spacing w:after="0" w:line="360" w:lineRule="auto"/>
        <w:jc w:val="both"/>
        <w:rPr>
          <w:rFonts w:cstheme="minorHAnsi"/>
        </w:rPr>
      </w:pPr>
      <w:r>
        <w:rPr>
          <w:rFonts w:cstheme="minorHAnsi"/>
        </w:rPr>
        <w:t>Existência de documentação de projeto;</w:t>
      </w:r>
    </w:p>
    <w:p>
      <w:pPr>
        <w:pStyle w:val="19"/>
        <w:numPr>
          <w:ilvl w:val="0"/>
          <w:numId w:val="19"/>
        </w:numPr>
        <w:spacing w:after="0" w:line="360" w:lineRule="auto"/>
        <w:jc w:val="both"/>
        <w:rPr>
          <w:rFonts w:cstheme="minorHAnsi"/>
        </w:rPr>
      </w:pPr>
      <w:r>
        <w:rPr>
          <w:rFonts w:cstheme="minorHAnsi"/>
        </w:rPr>
        <w:t>Estruturas organizacionais e qualificação dos profissionais da equipe técnica de segurança de barragens;</w:t>
      </w:r>
    </w:p>
    <w:p>
      <w:pPr>
        <w:pStyle w:val="19"/>
        <w:numPr>
          <w:ilvl w:val="0"/>
          <w:numId w:val="19"/>
        </w:numPr>
        <w:spacing w:after="0" w:line="360" w:lineRule="auto"/>
        <w:jc w:val="both"/>
        <w:rPr>
          <w:rFonts w:cstheme="minorHAnsi"/>
        </w:rPr>
      </w:pPr>
      <w:r>
        <w:rPr>
          <w:rFonts w:cstheme="minorHAnsi"/>
        </w:rPr>
        <w:t>Procedimento de inspeção de segurança de barragens e de monitoramento;</w:t>
      </w:r>
    </w:p>
    <w:p>
      <w:pPr>
        <w:pStyle w:val="19"/>
        <w:numPr>
          <w:ilvl w:val="0"/>
          <w:numId w:val="19"/>
        </w:numPr>
        <w:spacing w:after="0" w:line="360" w:lineRule="auto"/>
        <w:jc w:val="both"/>
        <w:rPr>
          <w:rFonts w:cstheme="minorHAnsi"/>
        </w:rPr>
      </w:pPr>
      <w:r>
        <w:rPr>
          <w:rFonts w:cstheme="minorHAnsi"/>
        </w:rPr>
        <w:t>Regra operacional dos dispositivos de descarga da barragem;</w:t>
      </w:r>
    </w:p>
    <w:p>
      <w:pPr>
        <w:pStyle w:val="19"/>
        <w:numPr>
          <w:ilvl w:val="0"/>
          <w:numId w:val="19"/>
        </w:numPr>
        <w:spacing w:after="0" w:line="360" w:lineRule="auto"/>
        <w:jc w:val="both"/>
        <w:rPr>
          <w:rFonts w:cstheme="minorHAnsi"/>
        </w:rPr>
      </w:pPr>
      <w:r>
        <w:rPr>
          <w:rFonts w:cstheme="minorHAnsi"/>
        </w:rPr>
        <w:t>Relatórios de inspeção de segurança com análise e interpretação.</w:t>
      </w:r>
    </w:p>
    <w:p>
      <w:pPr>
        <w:pStyle w:val="19"/>
        <w:numPr>
          <w:ilvl w:val="1"/>
          <w:numId w:val="17"/>
        </w:numPr>
        <w:spacing w:before="240" w:after="0" w:line="360" w:lineRule="auto"/>
        <w:ind w:left="425" w:hanging="425"/>
        <w:contextualSpacing w:val="0"/>
        <w:jc w:val="both"/>
        <w:rPr>
          <w:rFonts w:cstheme="minorHAnsi"/>
          <w:b/>
        </w:rPr>
      </w:pPr>
      <w:r>
        <w:rPr>
          <w:rFonts w:cstheme="minorHAnsi"/>
          <w:b/>
        </w:rPr>
        <w:t>Classificação da barragem quanto ao Dano Potencial Associado - DPA</w:t>
      </w:r>
    </w:p>
    <w:p>
      <w:pPr>
        <w:spacing w:after="0" w:line="360" w:lineRule="auto"/>
        <w:jc w:val="both"/>
        <w:rPr>
          <w:rFonts w:cstheme="minorHAnsi"/>
        </w:rPr>
      </w:pPr>
      <w:r>
        <w:rPr>
          <w:rFonts w:cstheme="minorHAnsi"/>
        </w:rPr>
        <w:t>A classificação da barragem quanto à categoria de Dano Potencial Associado - DPA, será conforme a Resolução Normativa nº 236, da Agência Nacional de Águas - ANA, segundo as seguintes faixas de classificação:</w:t>
      </w:r>
    </w:p>
    <w:p>
      <w:pPr>
        <w:pStyle w:val="19"/>
        <w:numPr>
          <w:ilvl w:val="0"/>
          <w:numId w:val="14"/>
        </w:numPr>
        <w:spacing w:after="0" w:line="360" w:lineRule="auto"/>
        <w:ind w:left="-142" w:firstLine="426"/>
        <w:jc w:val="both"/>
        <w:rPr>
          <w:rFonts w:cstheme="minorHAnsi"/>
        </w:rPr>
      </w:pPr>
      <w:r>
        <w:rPr>
          <w:rFonts w:cstheme="minorHAnsi"/>
        </w:rPr>
        <w:t>Dano Potencial Associado Alto;</w:t>
      </w:r>
    </w:p>
    <w:p>
      <w:pPr>
        <w:pStyle w:val="19"/>
        <w:numPr>
          <w:ilvl w:val="0"/>
          <w:numId w:val="14"/>
        </w:numPr>
        <w:spacing w:after="0" w:line="360" w:lineRule="auto"/>
        <w:ind w:left="-142" w:firstLine="426"/>
        <w:jc w:val="both"/>
        <w:rPr>
          <w:rFonts w:cstheme="minorHAnsi"/>
        </w:rPr>
      </w:pPr>
      <w:r>
        <w:rPr>
          <w:rFonts w:cstheme="minorHAnsi"/>
        </w:rPr>
        <w:t>Dano Potencial Médio;</w:t>
      </w:r>
    </w:p>
    <w:p>
      <w:pPr>
        <w:pStyle w:val="19"/>
        <w:numPr>
          <w:ilvl w:val="0"/>
          <w:numId w:val="14"/>
        </w:numPr>
        <w:spacing w:after="0" w:line="360" w:lineRule="auto"/>
        <w:ind w:left="-142" w:firstLine="426"/>
        <w:jc w:val="both"/>
        <w:rPr>
          <w:rFonts w:cstheme="minorHAnsi"/>
        </w:rPr>
      </w:pPr>
      <w:r>
        <w:rPr>
          <w:rFonts w:cstheme="minorHAnsi"/>
        </w:rPr>
        <w:t>Dano Potencial Baixo.</w:t>
      </w:r>
    </w:p>
    <w:p>
      <w:pPr>
        <w:spacing w:after="0" w:line="360" w:lineRule="auto"/>
        <w:jc w:val="both"/>
        <w:rPr>
          <w:rFonts w:cstheme="minorHAnsi"/>
        </w:rPr>
      </w:pPr>
      <w:r>
        <w:rPr>
          <w:rFonts w:cstheme="minorHAnsi"/>
        </w:rPr>
        <w:t>Os critérios gerais para serem utilizados na classificação quanto ao Dano Potencial Associado na área afetada são:</w:t>
      </w:r>
    </w:p>
    <w:p>
      <w:pPr>
        <w:pStyle w:val="19"/>
        <w:numPr>
          <w:ilvl w:val="0"/>
          <w:numId w:val="14"/>
        </w:numPr>
        <w:spacing w:after="0" w:line="360" w:lineRule="auto"/>
        <w:ind w:left="-142" w:firstLine="426"/>
        <w:jc w:val="both"/>
        <w:rPr>
          <w:rFonts w:cstheme="minorHAnsi"/>
        </w:rPr>
      </w:pPr>
      <w:r>
        <w:rPr>
          <w:rFonts w:cstheme="minorHAnsi"/>
        </w:rPr>
        <w:t>Volume total do reservatório;</w:t>
      </w:r>
    </w:p>
    <w:p>
      <w:pPr>
        <w:pStyle w:val="19"/>
        <w:numPr>
          <w:ilvl w:val="0"/>
          <w:numId w:val="14"/>
        </w:numPr>
        <w:spacing w:after="0" w:line="360" w:lineRule="auto"/>
        <w:ind w:left="-142" w:firstLine="426"/>
        <w:jc w:val="both"/>
        <w:rPr>
          <w:rFonts w:cstheme="minorHAnsi"/>
        </w:rPr>
      </w:pPr>
      <w:r>
        <w:rPr>
          <w:rFonts w:cstheme="minorHAnsi"/>
        </w:rPr>
        <w:t>Potencial de perdas de vidas humanas;</w:t>
      </w:r>
    </w:p>
    <w:p>
      <w:pPr>
        <w:pStyle w:val="19"/>
        <w:numPr>
          <w:ilvl w:val="0"/>
          <w:numId w:val="14"/>
        </w:numPr>
        <w:spacing w:after="0" w:line="360" w:lineRule="auto"/>
        <w:ind w:left="-142" w:firstLine="426"/>
        <w:jc w:val="both"/>
        <w:rPr>
          <w:rFonts w:cstheme="minorHAnsi"/>
        </w:rPr>
      </w:pPr>
      <w:r>
        <w:rPr>
          <w:rFonts w:cstheme="minorHAnsi"/>
        </w:rPr>
        <w:t>Impacto ambiental;</w:t>
      </w:r>
    </w:p>
    <w:p>
      <w:pPr>
        <w:pStyle w:val="19"/>
        <w:numPr>
          <w:ilvl w:val="0"/>
          <w:numId w:val="14"/>
        </w:numPr>
        <w:spacing w:after="0" w:line="360" w:lineRule="auto"/>
        <w:ind w:left="-142" w:firstLine="426"/>
        <w:jc w:val="both"/>
        <w:rPr>
          <w:rFonts w:cstheme="minorHAnsi"/>
        </w:rPr>
      </w:pPr>
      <w:r>
        <w:rPr>
          <w:rFonts w:cstheme="minorHAnsi"/>
        </w:rPr>
        <w:t>Impacto socioeconômico.</w:t>
      </w:r>
    </w:p>
    <w:p>
      <w:pPr>
        <w:pStyle w:val="19"/>
        <w:numPr>
          <w:ilvl w:val="1"/>
          <w:numId w:val="17"/>
        </w:numPr>
        <w:spacing w:before="240" w:after="0" w:line="360" w:lineRule="auto"/>
        <w:ind w:left="425" w:hanging="425"/>
        <w:contextualSpacing w:val="0"/>
        <w:jc w:val="both"/>
        <w:rPr>
          <w:rFonts w:cstheme="minorHAnsi"/>
          <w:b/>
        </w:rPr>
      </w:pPr>
      <w:r>
        <w:rPr>
          <w:rFonts w:cstheme="minorHAnsi"/>
          <w:b/>
        </w:rPr>
        <w:t>Informações Gerais da Barragem</w:t>
      </w:r>
    </w:p>
    <w:p>
      <w:pPr>
        <w:spacing w:after="0" w:line="360" w:lineRule="auto"/>
        <w:jc w:val="both"/>
        <w:rPr>
          <w:rFonts w:cstheme="minorHAnsi"/>
        </w:rPr>
      </w:pPr>
      <w:r>
        <w:rPr>
          <w:rFonts w:cstheme="minorHAnsi"/>
        </w:rPr>
        <w:t>O Volume também contempla informações gerais do barramento, como localização, descrição das estruturas, características hidrológicas, geológicas e sísmicas, descrição do reservatório, órgãos extravasores, instrumentação, acesso e projetos. Para tanto deverá ser disponibilizado por parte da CONTRATANTE a maior quantidade de informações através de projetos, registros, documentos, especificações técnicas, sondagens e demais materiais existentes referentes às barragens.</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5" w:name="_Toc3992689"/>
      <w:r>
        <w:rPr>
          <w:rFonts w:eastAsia="Times New Roman" w:asciiTheme="minorHAnsi" w:hAnsiTheme="minorHAnsi" w:cstheme="minorHAnsi"/>
          <w:b/>
          <w:color w:val="auto"/>
        </w:rPr>
        <w:t>Volume II</w:t>
      </w:r>
      <w:bookmarkEnd w:id="5"/>
    </w:p>
    <w:p>
      <w:pPr>
        <w:spacing w:after="0" w:line="360" w:lineRule="auto"/>
        <w:jc w:val="both"/>
        <w:rPr>
          <w:rFonts w:cstheme="minorHAnsi"/>
        </w:rPr>
      </w:pPr>
      <w:r>
        <w:rPr>
          <w:rFonts w:cstheme="minorHAnsi"/>
        </w:rPr>
        <w:t>O Volume II do PSB contempla a organização da documentação técnica do empreendimento, sendo listados e apresentados os documentos disponíveis referentes ao projeto básico e o executivo e os desenhos como construído aprovados.</w:t>
      </w:r>
    </w:p>
    <w:p>
      <w:pPr>
        <w:spacing w:after="0" w:line="360" w:lineRule="auto"/>
        <w:jc w:val="both"/>
        <w:rPr>
          <w:rFonts w:cstheme="minorHAnsi"/>
        </w:rPr>
      </w:pPr>
      <w:r>
        <w:rPr>
          <w:rFonts w:cstheme="minorHAnsi"/>
        </w:rPr>
        <w:t>Na inexistência ou de forma a complementar estes projetos, incluem-se estudos e documentos como:</w:t>
      </w:r>
    </w:p>
    <w:p>
      <w:pPr>
        <w:pStyle w:val="19"/>
        <w:numPr>
          <w:ilvl w:val="0"/>
          <w:numId w:val="20"/>
        </w:numPr>
        <w:spacing w:before="240" w:after="0" w:line="360" w:lineRule="auto"/>
        <w:ind w:left="425" w:hanging="425"/>
        <w:contextualSpacing w:val="0"/>
        <w:jc w:val="both"/>
        <w:rPr>
          <w:rFonts w:cstheme="minorHAnsi"/>
          <w:b/>
        </w:rPr>
      </w:pPr>
      <w:r>
        <w:rPr>
          <w:rFonts w:cstheme="minorHAnsi"/>
          <w:b/>
        </w:rPr>
        <w:t>Modelos geológico-geotécnicos e hidrogeológicos consolidados</w:t>
      </w:r>
    </w:p>
    <w:p>
      <w:pPr>
        <w:pStyle w:val="19"/>
        <w:numPr>
          <w:ilvl w:val="0"/>
          <w:numId w:val="14"/>
        </w:numPr>
        <w:spacing w:after="0" w:line="360" w:lineRule="auto"/>
        <w:ind w:left="0" w:firstLine="284"/>
        <w:jc w:val="both"/>
        <w:rPr>
          <w:rFonts w:cstheme="minorHAnsi"/>
        </w:rPr>
      </w:pPr>
      <w:r>
        <w:rPr>
          <w:rFonts w:cstheme="minorHAnsi"/>
        </w:rPr>
        <w:t>Barragem de terra e enrocamento: levando-se em consideração todos os trechos com diferentes características geológico-geotécnicas;</w:t>
      </w:r>
    </w:p>
    <w:p>
      <w:pPr>
        <w:pStyle w:val="19"/>
        <w:numPr>
          <w:ilvl w:val="0"/>
          <w:numId w:val="14"/>
        </w:numPr>
        <w:spacing w:after="0" w:line="360" w:lineRule="auto"/>
        <w:ind w:left="0" w:firstLine="284"/>
        <w:jc w:val="both"/>
        <w:rPr>
          <w:rFonts w:cstheme="minorHAnsi"/>
        </w:rPr>
      </w:pPr>
      <w:r>
        <w:rPr>
          <w:rFonts w:cstheme="minorHAnsi"/>
        </w:rPr>
        <w:t>Estruturas de concreto: levando-se em consideração os vários trechos com diferentes características geológico-geotécnicas.</w:t>
      </w:r>
    </w:p>
    <w:p>
      <w:pPr>
        <w:pStyle w:val="19"/>
        <w:numPr>
          <w:ilvl w:val="0"/>
          <w:numId w:val="20"/>
        </w:numPr>
        <w:spacing w:before="240" w:after="0" w:line="360" w:lineRule="auto"/>
        <w:ind w:left="425" w:hanging="425"/>
        <w:contextualSpacing w:val="0"/>
        <w:jc w:val="both"/>
        <w:rPr>
          <w:rFonts w:cstheme="minorHAnsi"/>
          <w:b/>
        </w:rPr>
      </w:pPr>
      <w:r>
        <w:rPr>
          <w:rFonts w:cstheme="minorHAnsi"/>
          <w:b/>
        </w:rPr>
        <w:t>Dados Gerais</w:t>
      </w:r>
    </w:p>
    <w:p>
      <w:pPr>
        <w:pStyle w:val="19"/>
        <w:numPr>
          <w:ilvl w:val="0"/>
          <w:numId w:val="14"/>
        </w:numPr>
        <w:spacing w:after="0" w:line="360" w:lineRule="auto"/>
        <w:ind w:left="-142" w:firstLine="426"/>
        <w:jc w:val="both"/>
        <w:rPr>
          <w:rFonts w:cstheme="minorHAnsi"/>
        </w:rPr>
      </w:pPr>
      <w:r>
        <w:rPr>
          <w:rFonts w:cstheme="minorHAnsi"/>
        </w:rPr>
        <w:t>Perfis individuais de sondagens;</w:t>
      </w:r>
    </w:p>
    <w:p>
      <w:pPr>
        <w:pStyle w:val="19"/>
        <w:numPr>
          <w:ilvl w:val="0"/>
          <w:numId w:val="14"/>
        </w:numPr>
        <w:spacing w:after="0" w:line="360" w:lineRule="auto"/>
        <w:ind w:left="-142" w:firstLine="426"/>
        <w:jc w:val="both"/>
        <w:rPr>
          <w:rFonts w:cstheme="minorHAnsi"/>
        </w:rPr>
      </w:pPr>
      <w:r>
        <w:rPr>
          <w:rFonts w:cstheme="minorHAnsi"/>
        </w:rPr>
        <w:t>Mapeamentos geológico-geotécnicos das fundações;</w:t>
      </w:r>
    </w:p>
    <w:p>
      <w:pPr>
        <w:pStyle w:val="19"/>
        <w:numPr>
          <w:ilvl w:val="0"/>
          <w:numId w:val="14"/>
        </w:numPr>
        <w:spacing w:after="0" w:line="360" w:lineRule="auto"/>
        <w:ind w:left="-142" w:firstLine="426"/>
        <w:jc w:val="both"/>
        <w:rPr>
          <w:rFonts w:cstheme="minorHAnsi"/>
        </w:rPr>
      </w:pPr>
      <w:r>
        <w:rPr>
          <w:rFonts w:cstheme="minorHAnsi"/>
        </w:rPr>
        <w:t>Planta de localização das sondagens e instrumentos;</w:t>
      </w:r>
    </w:p>
    <w:p>
      <w:pPr>
        <w:pStyle w:val="19"/>
        <w:numPr>
          <w:ilvl w:val="0"/>
          <w:numId w:val="14"/>
        </w:numPr>
        <w:spacing w:after="0" w:line="360" w:lineRule="auto"/>
        <w:ind w:left="-142" w:firstLine="426"/>
        <w:jc w:val="both"/>
        <w:rPr>
          <w:rFonts w:cstheme="minorHAnsi"/>
        </w:rPr>
      </w:pPr>
      <w:r>
        <w:rPr>
          <w:rFonts w:cstheme="minorHAnsi"/>
        </w:rPr>
        <w:t>Seções geológicas longitudinais e transversais;</w:t>
      </w:r>
    </w:p>
    <w:p>
      <w:pPr>
        <w:pStyle w:val="19"/>
        <w:numPr>
          <w:ilvl w:val="0"/>
          <w:numId w:val="14"/>
        </w:numPr>
        <w:spacing w:after="0" w:line="360" w:lineRule="auto"/>
        <w:ind w:left="-142" w:firstLine="426"/>
        <w:jc w:val="both"/>
        <w:rPr>
          <w:rFonts w:cstheme="minorHAnsi"/>
        </w:rPr>
      </w:pPr>
      <w:r>
        <w:rPr>
          <w:rFonts w:cstheme="minorHAnsi"/>
        </w:rPr>
        <w:t>Resultados de ensaios hidráulicos pontuais.</w:t>
      </w:r>
    </w:p>
    <w:p>
      <w:pPr>
        <w:pStyle w:val="19"/>
        <w:numPr>
          <w:ilvl w:val="0"/>
          <w:numId w:val="20"/>
        </w:numPr>
        <w:spacing w:before="240" w:after="0" w:line="360" w:lineRule="auto"/>
        <w:ind w:left="425" w:hanging="425"/>
        <w:contextualSpacing w:val="0"/>
        <w:jc w:val="both"/>
        <w:rPr>
          <w:rFonts w:cstheme="minorHAnsi"/>
          <w:b/>
        </w:rPr>
      </w:pPr>
      <w:r>
        <w:rPr>
          <w:rFonts w:cstheme="minorHAnsi"/>
          <w:b/>
        </w:rPr>
        <w:t>Materiais (Construção e Fundação)</w:t>
      </w:r>
    </w:p>
    <w:p>
      <w:pPr>
        <w:pStyle w:val="19"/>
        <w:numPr>
          <w:ilvl w:val="0"/>
          <w:numId w:val="14"/>
        </w:numPr>
        <w:spacing w:after="0" w:line="360" w:lineRule="auto"/>
        <w:ind w:left="-142" w:firstLine="426"/>
        <w:jc w:val="both"/>
        <w:rPr>
          <w:rFonts w:cstheme="minorHAnsi"/>
        </w:rPr>
      </w:pPr>
      <w:r>
        <w:rPr>
          <w:rFonts w:cstheme="minorHAnsi"/>
        </w:rPr>
        <w:t>Resultados de ensaios de caracterização, resistência, permeabilidade e deformabilidade dos materiais de empréstimo e da fundação.</w:t>
      </w:r>
    </w:p>
    <w:p>
      <w:pPr>
        <w:pStyle w:val="19"/>
        <w:numPr>
          <w:ilvl w:val="0"/>
          <w:numId w:val="20"/>
        </w:numPr>
        <w:spacing w:before="240" w:after="0" w:line="360" w:lineRule="auto"/>
        <w:ind w:left="425" w:hanging="425"/>
        <w:contextualSpacing w:val="0"/>
        <w:jc w:val="both"/>
        <w:rPr>
          <w:rFonts w:cstheme="minorHAnsi"/>
          <w:b/>
        </w:rPr>
      </w:pPr>
      <w:r>
        <w:rPr>
          <w:rFonts w:cstheme="minorHAnsi"/>
          <w:b/>
        </w:rPr>
        <w:t>Seções   geológico-geotécnicas “as   built” e   informações obtidas   durante a implantação dos tratamentos</w:t>
      </w:r>
    </w:p>
    <w:p>
      <w:pPr>
        <w:pStyle w:val="19"/>
        <w:numPr>
          <w:ilvl w:val="0"/>
          <w:numId w:val="14"/>
        </w:numPr>
        <w:spacing w:after="0" w:line="360" w:lineRule="auto"/>
        <w:ind w:left="-142" w:firstLine="426"/>
        <w:jc w:val="both"/>
        <w:rPr>
          <w:rFonts w:cstheme="minorHAnsi"/>
        </w:rPr>
      </w:pPr>
      <w:r>
        <w:rPr>
          <w:rFonts w:cstheme="minorHAnsi"/>
        </w:rPr>
        <w:t>Seções geológico-geotécnicas ao longo das cortinas de injeção e drenagem;</w:t>
      </w:r>
    </w:p>
    <w:p>
      <w:pPr>
        <w:pStyle w:val="19"/>
        <w:numPr>
          <w:ilvl w:val="0"/>
          <w:numId w:val="14"/>
        </w:numPr>
        <w:spacing w:after="0" w:line="360" w:lineRule="auto"/>
        <w:ind w:left="-142" w:firstLine="426"/>
        <w:jc w:val="both"/>
        <w:rPr>
          <w:rFonts w:cstheme="minorHAnsi"/>
        </w:rPr>
      </w:pPr>
      <w:r>
        <w:rPr>
          <w:rFonts w:cstheme="minorHAnsi"/>
        </w:rPr>
        <w:t>Relatórios dos tratamentos geológico-geotécnicos.</w:t>
      </w:r>
    </w:p>
    <w:p>
      <w:pPr>
        <w:pStyle w:val="19"/>
        <w:numPr>
          <w:ilvl w:val="0"/>
          <w:numId w:val="20"/>
        </w:numPr>
        <w:spacing w:before="240" w:after="0" w:line="360" w:lineRule="auto"/>
        <w:ind w:left="425" w:hanging="425"/>
        <w:contextualSpacing w:val="0"/>
        <w:jc w:val="both"/>
        <w:rPr>
          <w:rFonts w:cstheme="minorHAnsi"/>
          <w:b/>
        </w:rPr>
      </w:pPr>
      <w:r>
        <w:rPr>
          <w:rFonts w:cstheme="minorHAnsi"/>
          <w:b/>
        </w:rPr>
        <w:t>Projeto de Instrumentação</w:t>
      </w:r>
    </w:p>
    <w:p>
      <w:pPr>
        <w:pStyle w:val="19"/>
        <w:numPr>
          <w:ilvl w:val="0"/>
          <w:numId w:val="14"/>
        </w:numPr>
        <w:spacing w:after="0" w:line="360" w:lineRule="auto"/>
        <w:ind w:left="-142" w:firstLine="426"/>
        <w:jc w:val="both"/>
        <w:rPr>
          <w:rFonts w:cstheme="minorHAnsi"/>
        </w:rPr>
      </w:pPr>
      <w:r>
        <w:rPr>
          <w:rFonts w:cstheme="minorHAnsi"/>
        </w:rPr>
        <w:t>Plantas e seções da instrumentação.</w:t>
      </w:r>
    </w:p>
    <w:p>
      <w:pPr>
        <w:pStyle w:val="19"/>
        <w:numPr>
          <w:ilvl w:val="0"/>
          <w:numId w:val="20"/>
        </w:numPr>
        <w:spacing w:before="240" w:after="0" w:line="360" w:lineRule="auto"/>
        <w:ind w:left="425" w:hanging="425"/>
        <w:contextualSpacing w:val="0"/>
        <w:jc w:val="both"/>
        <w:rPr>
          <w:rFonts w:cstheme="minorHAnsi"/>
          <w:b/>
        </w:rPr>
      </w:pPr>
      <w:r>
        <w:rPr>
          <w:rFonts w:cstheme="minorHAnsi"/>
          <w:b/>
        </w:rPr>
        <w:t>Memórias de Cálculo das Estruturas Civis</w:t>
      </w:r>
    </w:p>
    <w:p>
      <w:pPr>
        <w:pStyle w:val="19"/>
        <w:numPr>
          <w:ilvl w:val="0"/>
          <w:numId w:val="14"/>
        </w:numPr>
        <w:spacing w:after="0" w:line="360" w:lineRule="auto"/>
        <w:ind w:left="-142" w:firstLine="426"/>
        <w:jc w:val="both"/>
        <w:rPr>
          <w:rFonts w:cstheme="minorHAnsi"/>
        </w:rPr>
      </w:pPr>
      <w:r>
        <w:t>Percolação, estabilidade e</w:t>
      </w:r>
      <w:r>
        <w:rPr>
          <w:spacing w:val="-35"/>
        </w:rPr>
        <w:t xml:space="preserve"> </w:t>
      </w:r>
      <w:r>
        <w:t>deformações.</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6" w:name="_Toc3992690"/>
      <w:r>
        <w:rPr>
          <w:rFonts w:eastAsia="Times New Roman" w:asciiTheme="minorHAnsi" w:hAnsiTheme="minorHAnsi" w:cstheme="minorHAnsi"/>
          <w:b/>
          <w:color w:val="auto"/>
        </w:rPr>
        <w:t>Volume III</w:t>
      </w:r>
      <w:bookmarkEnd w:id="6"/>
    </w:p>
    <w:p>
      <w:pPr>
        <w:spacing w:after="0" w:line="360" w:lineRule="auto"/>
        <w:jc w:val="both"/>
        <w:rPr>
          <w:rFonts w:cstheme="minorHAnsi"/>
        </w:rPr>
      </w:pPr>
      <w:r>
        <w:rPr>
          <w:rFonts w:cstheme="minorHAnsi"/>
        </w:rPr>
        <w:t>A CONTRATADA elaborará na íntegra, manuais de Planos e Procedimentos, contemplados no Volume III, sendo eles:</w:t>
      </w:r>
    </w:p>
    <w:p>
      <w:pPr>
        <w:pStyle w:val="19"/>
        <w:numPr>
          <w:ilvl w:val="0"/>
          <w:numId w:val="21"/>
        </w:numPr>
        <w:tabs>
          <w:tab w:val="left" w:pos="426"/>
        </w:tabs>
        <w:spacing w:before="240" w:after="0" w:line="360" w:lineRule="auto"/>
        <w:ind w:left="0" w:firstLine="0"/>
        <w:contextualSpacing w:val="0"/>
        <w:jc w:val="both"/>
        <w:rPr>
          <w:rFonts w:cstheme="minorHAnsi"/>
        </w:rPr>
      </w:pPr>
      <w:r>
        <w:rPr>
          <w:rFonts w:cstheme="minorHAnsi"/>
          <w:b/>
        </w:rPr>
        <w:t>Manual Geral</w:t>
      </w:r>
    </w:p>
    <w:p>
      <w:pPr>
        <w:pStyle w:val="19"/>
        <w:tabs>
          <w:tab w:val="left" w:pos="426"/>
        </w:tabs>
        <w:spacing w:after="0" w:line="360" w:lineRule="auto"/>
        <w:ind w:left="0"/>
        <w:contextualSpacing w:val="0"/>
        <w:jc w:val="both"/>
        <w:rPr>
          <w:rFonts w:cstheme="minorHAnsi"/>
        </w:rPr>
      </w:pPr>
      <w:r>
        <w:rPr>
          <w:rFonts w:cstheme="minorHAnsi"/>
        </w:rPr>
        <w:t>Contemplando o conjunto de normas e procedimentos de operação e manutenção, envolvendo aspectos técnicos, organizacionais e administrativos, objetivando garantir a segurança da opção hidráulica do reservatório. O manual geral contém toda a concepção do sistema.</w:t>
      </w:r>
    </w:p>
    <w:p>
      <w:pPr>
        <w:pStyle w:val="19"/>
        <w:numPr>
          <w:ilvl w:val="0"/>
          <w:numId w:val="21"/>
        </w:numPr>
        <w:tabs>
          <w:tab w:val="left" w:pos="426"/>
        </w:tabs>
        <w:spacing w:before="240" w:after="0" w:line="360" w:lineRule="auto"/>
        <w:ind w:left="0" w:firstLine="0"/>
        <w:contextualSpacing w:val="0"/>
        <w:jc w:val="both"/>
        <w:rPr>
          <w:rFonts w:cstheme="minorHAnsi"/>
          <w:b/>
        </w:rPr>
      </w:pPr>
      <w:r>
        <w:rPr>
          <w:rFonts w:cstheme="minorHAnsi"/>
          <w:b/>
        </w:rPr>
        <w:t>Manual de Operação Hidráulica do Reservatório</w:t>
      </w:r>
    </w:p>
    <w:p>
      <w:pPr>
        <w:pStyle w:val="19"/>
        <w:tabs>
          <w:tab w:val="left" w:pos="426"/>
        </w:tabs>
        <w:spacing w:after="0" w:line="360" w:lineRule="auto"/>
        <w:ind w:left="0"/>
        <w:contextualSpacing w:val="0"/>
        <w:jc w:val="both"/>
        <w:rPr>
          <w:rFonts w:cstheme="minorHAnsi"/>
        </w:rPr>
      </w:pPr>
      <w:r>
        <w:rPr>
          <w:rFonts w:cstheme="minorHAnsi"/>
        </w:rPr>
        <w:t>Estabelece as normas e os procedimentos específicos a serem seguidos na operação hidráulica do barramento, para enfrentar convenientemente condições hidrológicas adversas, caracterizadas por elevadas vazões que poderiam provocar grandes danos a barragem, bem como a terceiros situados a jusante. Contém:</w:t>
      </w:r>
    </w:p>
    <w:p>
      <w:pPr>
        <w:pStyle w:val="19"/>
        <w:numPr>
          <w:ilvl w:val="0"/>
          <w:numId w:val="14"/>
        </w:numPr>
        <w:spacing w:after="0" w:line="360" w:lineRule="auto"/>
        <w:ind w:left="0" w:firstLine="284"/>
        <w:jc w:val="both"/>
      </w:pPr>
      <w:r>
        <w:t>Conjunto de dados referentes à localização das barragens, e à sua operação hidráulica;</w:t>
      </w:r>
    </w:p>
    <w:p>
      <w:pPr>
        <w:pStyle w:val="19"/>
        <w:numPr>
          <w:ilvl w:val="0"/>
          <w:numId w:val="14"/>
        </w:numPr>
        <w:spacing w:after="0" w:line="360" w:lineRule="auto"/>
        <w:ind w:left="0" w:firstLine="284"/>
        <w:jc w:val="both"/>
      </w:pPr>
      <w:r>
        <w:t>Rotina operacional para o levantamento e registro do estado hidráulica do reservatório, com inclusão de tabelas para cálculo de vazões;</w:t>
      </w:r>
    </w:p>
    <w:p>
      <w:pPr>
        <w:pStyle w:val="19"/>
        <w:numPr>
          <w:ilvl w:val="0"/>
          <w:numId w:val="14"/>
        </w:numPr>
        <w:spacing w:after="0" w:line="360" w:lineRule="auto"/>
        <w:ind w:left="0" w:firstLine="284"/>
        <w:jc w:val="both"/>
      </w:pPr>
      <w:r>
        <w:t>Elementos referenciais para a verificação do estado hidráulica do reservatório, assim como para a decisão sobre a operação hidráulica a ser adotada em cada situação;</w:t>
      </w:r>
    </w:p>
    <w:p>
      <w:pPr>
        <w:pStyle w:val="19"/>
        <w:numPr>
          <w:ilvl w:val="0"/>
          <w:numId w:val="14"/>
        </w:numPr>
        <w:spacing w:after="0" w:line="360" w:lineRule="auto"/>
        <w:ind w:left="0" w:firstLine="284"/>
        <w:jc w:val="both"/>
      </w:pPr>
      <w:r>
        <w:t>Leis de manobras e curvas cota x vazão dos vertedores.</w:t>
      </w:r>
    </w:p>
    <w:p>
      <w:pPr>
        <w:pStyle w:val="19"/>
        <w:numPr>
          <w:ilvl w:val="0"/>
          <w:numId w:val="21"/>
        </w:numPr>
        <w:tabs>
          <w:tab w:val="left" w:pos="426"/>
        </w:tabs>
        <w:spacing w:before="240" w:after="0" w:line="360" w:lineRule="auto"/>
        <w:ind w:left="0" w:firstLine="0"/>
        <w:contextualSpacing w:val="0"/>
        <w:jc w:val="both"/>
        <w:rPr>
          <w:rFonts w:cstheme="minorHAnsi"/>
          <w:b/>
        </w:rPr>
      </w:pPr>
      <w:r>
        <w:rPr>
          <w:rFonts w:cstheme="minorHAnsi"/>
          <w:b/>
        </w:rPr>
        <w:t>Manual de Manobras dos Órgãos de Descarga</w:t>
      </w:r>
    </w:p>
    <w:p>
      <w:pPr>
        <w:pStyle w:val="19"/>
        <w:tabs>
          <w:tab w:val="left" w:pos="426"/>
        </w:tabs>
        <w:spacing w:after="0" w:line="360" w:lineRule="auto"/>
        <w:ind w:left="0"/>
        <w:contextualSpacing w:val="0"/>
        <w:jc w:val="both"/>
        <w:rPr>
          <w:rFonts w:cstheme="minorHAnsi"/>
        </w:rPr>
      </w:pPr>
      <w:r>
        <w:rPr>
          <w:rFonts w:cstheme="minorHAnsi"/>
        </w:rPr>
        <w:t>Refere-se especificamente aos equipamentos dos órgãos de descarga e sistema de alimentação elétrica dos serviços auxiliares da barragem. Tem a finalidade de fornecer aos operadores da barragem os dados técnicos necessários para a execução de manobras destes equipamentos, sobretudo em condições de emergência. Contém:</w:t>
      </w:r>
    </w:p>
    <w:p>
      <w:pPr>
        <w:pStyle w:val="19"/>
        <w:numPr>
          <w:ilvl w:val="0"/>
          <w:numId w:val="14"/>
        </w:numPr>
        <w:spacing w:after="0" w:line="360" w:lineRule="auto"/>
        <w:ind w:left="0" w:firstLine="284"/>
        <w:jc w:val="both"/>
      </w:pPr>
      <w:r>
        <w:t>Descrição geral, que apresenta genericamente os equipamentos dos órgãos de descarga e os serviços auxiliares;</w:t>
      </w:r>
    </w:p>
    <w:p>
      <w:pPr>
        <w:pStyle w:val="19"/>
        <w:numPr>
          <w:ilvl w:val="0"/>
          <w:numId w:val="14"/>
        </w:numPr>
        <w:spacing w:after="0" w:line="360" w:lineRule="auto"/>
        <w:ind w:left="0" w:firstLine="284"/>
        <w:jc w:val="both"/>
      </w:pPr>
      <w:r>
        <w:t>Manobras dos equipamentos, que apresenta as condições normais de utilização e todas as manobras permitidas com os equipamentos em questão.</w:t>
      </w:r>
    </w:p>
    <w:p>
      <w:pPr>
        <w:spacing w:after="0" w:line="360" w:lineRule="auto"/>
        <w:jc w:val="both"/>
        <w:rPr>
          <w:rFonts w:cstheme="minorHAnsi"/>
        </w:rPr>
      </w:pPr>
      <w:r>
        <w:rPr>
          <w:rFonts w:cstheme="minorHAnsi"/>
        </w:rPr>
        <w:t>Será apresentado um mapa de manobras, que resume de maneira prática as condições normais e as diversas alternativas de manobras, em sequência preferencial.</w:t>
      </w:r>
    </w:p>
    <w:p>
      <w:pPr>
        <w:pStyle w:val="19"/>
        <w:numPr>
          <w:ilvl w:val="0"/>
          <w:numId w:val="21"/>
        </w:numPr>
        <w:tabs>
          <w:tab w:val="left" w:pos="426"/>
        </w:tabs>
        <w:spacing w:before="240" w:after="0" w:line="360" w:lineRule="auto"/>
        <w:ind w:left="0" w:firstLine="0"/>
        <w:contextualSpacing w:val="0"/>
        <w:jc w:val="both"/>
        <w:rPr>
          <w:rFonts w:cstheme="minorHAnsi"/>
          <w:b/>
        </w:rPr>
      </w:pPr>
      <w:r>
        <w:rPr>
          <w:rFonts w:cstheme="minorHAnsi"/>
          <w:b/>
        </w:rPr>
        <w:t>Manual de Infraestrutura</w:t>
      </w:r>
    </w:p>
    <w:p>
      <w:pPr>
        <w:pStyle w:val="19"/>
        <w:tabs>
          <w:tab w:val="left" w:pos="426"/>
        </w:tabs>
        <w:spacing w:after="0" w:line="360" w:lineRule="auto"/>
        <w:ind w:left="0"/>
        <w:contextualSpacing w:val="0"/>
        <w:jc w:val="both"/>
        <w:rPr>
          <w:rFonts w:cstheme="minorHAnsi"/>
        </w:rPr>
      </w:pPr>
      <w:r>
        <w:rPr>
          <w:rFonts w:cstheme="minorHAnsi"/>
        </w:rPr>
        <w:t>Contém dados diversos relativos a serviços de apoio, como transporte, fornecimento de combustível, alojamento, assistência médica, polícia militar, abastecimento de água, defesa civil, corpo de bombeiros, e outros atendimentos em geral, para auxiliar na obtenção de dados ou informações que sejam importantes.</w:t>
      </w:r>
    </w:p>
    <w:p>
      <w:pPr>
        <w:pStyle w:val="19"/>
        <w:numPr>
          <w:ilvl w:val="0"/>
          <w:numId w:val="21"/>
        </w:numPr>
        <w:tabs>
          <w:tab w:val="left" w:pos="426"/>
        </w:tabs>
        <w:spacing w:before="240" w:after="0" w:line="360" w:lineRule="auto"/>
        <w:ind w:left="0" w:firstLine="0"/>
        <w:contextualSpacing w:val="0"/>
        <w:jc w:val="both"/>
        <w:rPr>
          <w:rFonts w:cstheme="minorHAnsi"/>
          <w:b/>
        </w:rPr>
      </w:pPr>
      <w:r>
        <w:rPr>
          <w:rFonts w:cstheme="minorHAnsi"/>
          <w:b/>
        </w:rPr>
        <w:t>Manual de Conservação</w:t>
      </w:r>
    </w:p>
    <w:p>
      <w:pPr>
        <w:pStyle w:val="19"/>
        <w:tabs>
          <w:tab w:val="left" w:pos="426"/>
        </w:tabs>
        <w:spacing w:after="0" w:line="360" w:lineRule="auto"/>
        <w:ind w:left="0"/>
        <w:contextualSpacing w:val="0"/>
        <w:jc w:val="both"/>
        <w:rPr>
          <w:rFonts w:cstheme="minorHAnsi"/>
        </w:rPr>
      </w:pPr>
      <w:r>
        <w:rPr>
          <w:rFonts w:cstheme="minorHAnsi"/>
        </w:rPr>
        <w:t>Refere-se ao plano de manutenção das estruturas da barragem e equipamentos, com suas devidas ações e planejamentos. Contém:</w:t>
      </w:r>
    </w:p>
    <w:p>
      <w:pPr>
        <w:pStyle w:val="19"/>
        <w:numPr>
          <w:ilvl w:val="0"/>
          <w:numId w:val="14"/>
        </w:numPr>
        <w:spacing w:after="0" w:line="360" w:lineRule="auto"/>
        <w:ind w:left="0" w:firstLine="284"/>
        <w:jc w:val="both"/>
      </w:pPr>
      <w:r>
        <w:t>Plano de manutenção das estruturas e equipamentos;</w:t>
      </w:r>
    </w:p>
    <w:p>
      <w:pPr>
        <w:pStyle w:val="19"/>
        <w:numPr>
          <w:ilvl w:val="0"/>
          <w:numId w:val="14"/>
        </w:numPr>
        <w:spacing w:after="0" w:line="360" w:lineRule="auto"/>
        <w:ind w:left="0" w:firstLine="284"/>
        <w:jc w:val="both"/>
      </w:pPr>
      <w:r>
        <w:t>Periodicidade de inspeções visuais e com descrição dos recursos necessários ao desenvolvimento da mesma, bem como roteiro de inspeção;</w:t>
      </w:r>
    </w:p>
    <w:p>
      <w:pPr>
        <w:pStyle w:val="19"/>
        <w:numPr>
          <w:ilvl w:val="0"/>
          <w:numId w:val="14"/>
        </w:numPr>
        <w:spacing w:after="0" w:line="360" w:lineRule="auto"/>
        <w:ind w:left="0" w:firstLine="284"/>
        <w:jc w:val="both"/>
      </w:pPr>
      <w:r>
        <w:t>Plano de monitoramento e instrumentação, constando a especificação dos instrumentos, frequência de leituras, etc.</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7" w:name="_Toc3992691"/>
      <w:r>
        <w:rPr>
          <w:rFonts w:eastAsia="Times New Roman" w:asciiTheme="minorHAnsi" w:hAnsiTheme="minorHAnsi" w:cstheme="minorHAnsi"/>
          <w:b/>
          <w:color w:val="auto"/>
        </w:rPr>
        <w:t>Volume IV</w:t>
      </w:r>
      <w:bookmarkEnd w:id="7"/>
    </w:p>
    <w:p>
      <w:pPr>
        <w:spacing w:after="0" w:line="360" w:lineRule="auto"/>
        <w:jc w:val="both"/>
        <w:rPr>
          <w:rFonts w:cstheme="minorHAnsi"/>
        </w:rPr>
      </w:pPr>
      <w:r>
        <w:rPr>
          <w:rFonts w:cstheme="minorHAnsi"/>
        </w:rPr>
        <w:t>O Volume IV contempla relatórios de inspeção visual com fichas de inspeção, desenvolvimento de check-list, relatório de análise de auscultação civil e registros de manutenção.</w:t>
      </w:r>
    </w:p>
    <w:p>
      <w:pPr>
        <w:spacing w:after="0" w:line="360" w:lineRule="auto"/>
        <w:jc w:val="both"/>
        <w:rPr>
          <w:rFonts w:cstheme="minorHAnsi"/>
        </w:rPr>
      </w:pPr>
    </w:p>
    <w:p>
      <w:pPr>
        <w:pStyle w:val="19"/>
        <w:numPr>
          <w:ilvl w:val="0"/>
          <w:numId w:val="22"/>
        </w:numPr>
        <w:tabs>
          <w:tab w:val="left" w:pos="426"/>
        </w:tabs>
        <w:spacing w:before="240" w:after="0" w:line="360" w:lineRule="auto"/>
        <w:ind w:left="425" w:hanging="448"/>
        <w:contextualSpacing w:val="0"/>
        <w:jc w:val="both"/>
        <w:rPr>
          <w:rFonts w:cstheme="minorHAnsi"/>
          <w:b/>
        </w:rPr>
      </w:pPr>
      <w:r>
        <w:rPr>
          <w:rFonts w:cstheme="minorHAnsi"/>
          <w:b/>
        </w:rPr>
        <w:t>Inspeção Visual</w:t>
      </w:r>
    </w:p>
    <w:p>
      <w:pPr>
        <w:spacing w:after="0" w:line="360" w:lineRule="auto"/>
        <w:jc w:val="both"/>
        <w:rPr>
          <w:rFonts w:cstheme="minorHAnsi"/>
        </w:rPr>
      </w:pPr>
      <w:r>
        <w:rPr>
          <w:rFonts w:cstheme="minorHAnsi"/>
        </w:rPr>
        <w:t>Será efetuada inspeção visual no empreendimento com emissão de relatório de segurança de barragens, em atendimento à Lei Federal 12.334/2010 que estabelece a Política Nacional de Segurança de Barragens, tendo por objetivo a avaliação e acompanhamento, servindo como ferramenta de análise de sua efetividade na redução de acidentes, incidentes e na melhoria da gestão da Segurança da Barragem.</w:t>
      </w:r>
    </w:p>
    <w:p>
      <w:pPr>
        <w:spacing w:after="0" w:line="360" w:lineRule="auto"/>
        <w:jc w:val="both"/>
        <w:rPr>
          <w:rFonts w:cstheme="minorHAnsi"/>
        </w:rPr>
      </w:pPr>
      <w:r>
        <w:rPr>
          <w:rFonts w:cstheme="minorHAnsi"/>
        </w:rPr>
        <w:t>A partir da inspeção será emitido relatório relatando as ocorrência e situações observadas nas superfícies aparentes e visíveis das estruturas de concreto e maciços de terra, sendo, para isso, apresentados os registros fotográficos dos aspectos relevantes. Nesse relatório, serão consolidados os resultados das inspeções de segurança das estruturas civis, descrevendo-se os controles e medições executadas, análise e diagnóstico, limites, e possíveis restrições operativas.</w:t>
      </w:r>
    </w:p>
    <w:p>
      <w:pPr>
        <w:spacing w:after="0" w:line="360" w:lineRule="auto"/>
        <w:jc w:val="both"/>
        <w:rPr>
          <w:rFonts w:cstheme="minorHAnsi"/>
        </w:rPr>
      </w:pPr>
      <w:r>
        <w:rPr>
          <w:rFonts w:cstheme="minorHAnsi"/>
        </w:rPr>
        <w:t>Será dada atenção ao estado de conservação geral das estruturas civis e condições de cada componente estrutural, a fim de garantir a estabilidade e a segurança do barramento. Para isso, os seguintes itens deverão ser observados:</w:t>
      </w:r>
    </w:p>
    <w:p>
      <w:pPr>
        <w:pStyle w:val="19"/>
        <w:numPr>
          <w:ilvl w:val="0"/>
          <w:numId w:val="14"/>
        </w:numPr>
        <w:spacing w:after="0" w:line="360" w:lineRule="auto"/>
        <w:ind w:left="-142" w:firstLine="426"/>
        <w:jc w:val="both"/>
      </w:pPr>
      <w:r>
        <w:t>Estado de conservação, se adequado ou não;</w:t>
      </w:r>
    </w:p>
    <w:p>
      <w:pPr>
        <w:pStyle w:val="19"/>
        <w:numPr>
          <w:ilvl w:val="0"/>
          <w:numId w:val="14"/>
        </w:numPr>
        <w:spacing w:after="0" w:line="360" w:lineRule="auto"/>
        <w:ind w:left="0" w:firstLine="284"/>
        <w:jc w:val="both"/>
      </w:pPr>
      <w:r>
        <w:t>Existência de trincas, abatimentos ou escorregamentos expressivos com potencial de comprometimento da segurança;</w:t>
      </w:r>
    </w:p>
    <w:p>
      <w:pPr>
        <w:pStyle w:val="19"/>
        <w:numPr>
          <w:ilvl w:val="0"/>
          <w:numId w:val="14"/>
        </w:numPr>
        <w:spacing w:after="0" w:line="360" w:lineRule="auto"/>
        <w:ind w:left="-142" w:firstLine="426"/>
        <w:jc w:val="both"/>
      </w:pPr>
      <w:r>
        <w:t>Iluminação das galerias;</w:t>
      </w:r>
    </w:p>
    <w:p>
      <w:pPr>
        <w:pStyle w:val="19"/>
        <w:numPr>
          <w:ilvl w:val="0"/>
          <w:numId w:val="14"/>
        </w:numPr>
        <w:spacing w:after="0" w:line="360" w:lineRule="auto"/>
        <w:ind w:left="-142" w:firstLine="426"/>
        <w:jc w:val="both"/>
      </w:pPr>
      <w:r>
        <w:t>Instrumentação de controle operacional;</w:t>
      </w:r>
    </w:p>
    <w:p>
      <w:pPr>
        <w:pStyle w:val="19"/>
        <w:numPr>
          <w:ilvl w:val="0"/>
          <w:numId w:val="14"/>
        </w:numPr>
        <w:spacing w:after="0" w:line="360" w:lineRule="auto"/>
        <w:ind w:left="-142" w:firstLine="426"/>
        <w:jc w:val="both"/>
      </w:pPr>
      <w:r>
        <w:t>Infiltrações;</w:t>
      </w:r>
    </w:p>
    <w:p>
      <w:pPr>
        <w:pStyle w:val="19"/>
        <w:numPr>
          <w:ilvl w:val="0"/>
          <w:numId w:val="14"/>
        </w:numPr>
        <w:spacing w:after="0" w:line="360" w:lineRule="auto"/>
        <w:ind w:left="-142" w:firstLine="426"/>
        <w:jc w:val="both"/>
      </w:pPr>
      <w:r>
        <w:t>Controle de carreamento de material na água dos drenos;</w:t>
      </w:r>
    </w:p>
    <w:p>
      <w:pPr>
        <w:pStyle w:val="19"/>
        <w:numPr>
          <w:ilvl w:val="0"/>
          <w:numId w:val="14"/>
        </w:numPr>
        <w:spacing w:after="0" w:line="360" w:lineRule="auto"/>
        <w:ind w:left="-142" w:firstLine="426"/>
        <w:jc w:val="both"/>
      </w:pPr>
      <w:r>
        <w:t>Armadura estrutural, do concreto armado, exposta;</w:t>
      </w:r>
    </w:p>
    <w:p>
      <w:pPr>
        <w:pStyle w:val="19"/>
        <w:numPr>
          <w:ilvl w:val="0"/>
          <w:numId w:val="14"/>
        </w:numPr>
        <w:spacing w:after="0" w:line="360" w:lineRule="auto"/>
        <w:ind w:left="-142" w:firstLine="426"/>
        <w:jc w:val="both"/>
      </w:pPr>
      <w:r>
        <w:t>Falhas no enrocamento de proteção;</w:t>
      </w:r>
    </w:p>
    <w:p>
      <w:pPr>
        <w:pStyle w:val="19"/>
        <w:numPr>
          <w:ilvl w:val="0"/>
          <w:numId w:val="14"/>
        </w:numPr>
        <w:spacing w:after="0" w:line="360" w:lineRule="auto"/>
        <w:ind w:left="-142" w:firstLine="426"/>
        <w:jc w:val="both"/>
      </w:pPr>
      <w:r>
        <w:t>Umidade e surgências na área à jusante, paramentos, taludes e/ou ombreiras;</w:t>
      </w:r>
    </w:p>
    <w:p>
      <w:pPr>
        <w:pStyle w:val="19"/>
        <w:numPr>
          <w:ilvl w:val="0"/>
          <w:numId w:val="14"/>
        </w:numPr>
        <w:spacing w:after="0" w:line="360" w:lineRule="auto"/>
        <w:ind w:left="-142" w:firstLine="426"/>
        <w:jc w:val="both"/>
      </w:pPr>
      <w:r>
        <w:t>Carreamento de material com vazão crescente;</w:t>
      </w:r>
    </w:p>
    <w:p>
      <w:pPr>
        <w:pStyle w:val="19"/>
        <w:numPr>
          <w:ilvl w:val="0"/>
          <w:numId w:val="14"/>
        </w:numPr>
        <w:spacing w:after="0" w:line="360" w:lineRule="auto"/>
        <w:ind w:left="-142" w:firstLine="426"/>
        <w:jc w:val="both"/>
      </w:pPr>
      <w:r>
        <w:t>Falhas na proteção dos taludes e paramentos com presença de arbustos;</w:t>
      </w:r>
    </w:p>
    <w:p>
      <w:pPr>
        <w:pStyle w:val="19"/>
        <w:numPr>
          <w:ilvl w:val="0"/>
          <w:numId w:val="14"/>
        </w:numPr>
        <w:spacing w:after="0" w:line="360" w:lineRule="auto"/>
        <w:ind w:left="0" w:firstLine="284"/>
        <w:jc w:val="both"/>
      </w:pPr>
      <w:r>
        <w:t>Depressões acentuadas nos taludes, escorregamentos, sulcos profundos de erosões, com potencial de comprometimento da segurança.</w:t>
      </w:r>
    </w:p>
    <w:p>
      <w:pPr>
        <w:pStyle w:val="19"/>
        <w:spacing w:after="0" w:line="360" w:lineRule="auto"/>
        <w:ind w:left="284"/>
        <w:jc w:val="both"/>
      </w:pPr>
    </w:p>
    <w:p>
      <w:pPr>
        <w:pStyle w:val="19"/>
        <w:numPr>
          <w:ilvl w:val="0"/>
          <w:numId w:val="22"/>
        </w:numPr>
        <w:tabs>
          <w:tab w:val="left" w:pos="426"/>
        </w:tabs>
        <w:spacing w:before="240" w:after="0" w:line="360" w:lineRule="auto"/>
        <w:ind w:left="425" w:hanging="448"/>
        <w:contextualSpacing w:val="0"/>
        <w:jc w:val="both"/>
        <w:rPr>
          <w:rFonts w:cstheme="minorHAnsi"/>
          <w:b/>
        </w:rPr>
      </w:pPr>
      <w:r>
        <w:rPr>
          <w:rFonts w:cstheme="minorHAnsi"/>
          <w:b/>
        </w:rPr>
        <w:t>Classificação de Anormalidades</w:t>
      </w:r>
    </w:p>
    <w:p>
      <w:pPr>
        <w:spacing w:after="0" w:line="360" w:lineRule="auto"/>
        <w:jc w:val="both"/>
        <w:rPr>
          <w:rFonts w:cstheme="minorHAnsi"/>
        </w:rPr>
      </w:pPr>
      <w:r>
        <w:rPr>
          <w:rFonts w:cstheme="minorHAnsi"/>
        </w:rPr>
        <w:t>As anormalidades observadas durante a inspeção serão classificadas em:</w:t>
      </w:r>
    </w:p>
    <w:p>
      <w:pPr>
        <w:pStyle w:val="19"/>
        <w:numPr>
          <w:ilvl w:val="0"/>
          <w:numId w:val="14"/>
        </w:numPr>
        <w:spacing w:after="0" w:line="360" w:lineRule="auto"/>
        <w:ind w:left="-142" w:firstLine="426"/>
        <w:jc w:val="both"/>
      </w:pPr>
      <w:r>
        <w:t>“Oportunidade de Melhorias”</w:t>
      </w:r>
    </w:p>
    <w:p>
      <w:pPr>
        <w:pStyle w:val="19"/>
        <w:numPr>
          <w:ilvl w:val="0"/>
          <w:numId w:val="14"/>
        </w:numPr>
        <w:spacing w:after="0" w:line="360" w:lineRule="auto"/>
        <w:ind w:left="-142" w:firstLine="426"/>
        <w:jc w:val="both"/>
      </w:pPr>
      <w:r>
        <w:t>“Não Conformidade Leve”</w:t>
      </w:r>
    </w:p>
    <w:p>
      <w:pPr>
        <w:pStyle w:val="19"/>
        <w:numPr>
          <w:ilvl w:val="0"/>
          <w:numId w:val="14"/>
        </w:numPr>
        <w:spacing w:after="0" w:line="360" w:lineRule="auto"/>
        <w:ind w:left="-142" w:firstLine="426"/>
        <w:jc w:val="both"/>
      </w:pPr>
      <w:r>
        <w:t>“Não Conformidade Grave”</w:t>
      </w:r>
    </w:p>
    <w:p>
      <w:pPr>
        <w:spacing w:after="0" w:line="360" w:lineRule="auto"/>
        <w:jc w:val="both"/>
        <w:rPr>
          <w:rFonts w:cstheme="minorHAnsi"/>
        </w:rPr>
      </w:pPr>
      <w:r>
        <w:rPr>
          <w:rFonts w:cstheme="minorHAnsi"/>
        </w:rPr>
        <w:t>Esta classificação tem por objetivo permitir um monitoramento dentro de um programa de melhoria contínua das instalações de geração.</w:t>
      </w:r>
    </w:p>
    <w:p>
      <w:pPr>
        <w:spacing w:after="0" w:line="360" w:lineRule="auto"/>
        <w:jc w:val="both"/>
        <w:rPr>
          <w:rFonts w:cstheme="minorHAnsi"/>
        </w:rPr>
      </w:pPr>
      <w:r>
        <w:rPr>
          <w:rFonts w:cstheme="minorHAnsi"/>
        </w:rPr>
        <w:t>Ao final, o empreendimento será classificado, quanto ao nível de perigo, de acordo com as definições a seguir:</w:t>
      </w:r>
    </w:p>
    <w:p>
      <w:pPr>
        <w:pStyle w:val="19"/>
        <w:numPr>
          <w:ilvl w:val="0"/>
          <w:numId w:val="23"/>
        </w:numPr>
        <w:spacing w:after="0" w:line="360" w:lineRule="auto"/>
        <w:ind w:left="102" w:leftChars="0" w:right="0" w:rightChars="0"/>
        <w:jc w:val="both"/>
        <w:rPr>
          <w:rFonts w:cstheme="minorHAnsi"/>
          <w:b/>
        </w:rPr>
      </w:pPr>
      <w:r>
        <w:rPr>
          <w:rFonts w:cstheme="minorHAnsi"/>
          <w:b/>
        </w:rPr>
        <w:t>Normal</w:t>
      </w:r>
    </w:p>
    <w:p>
      <w:pPr>
        <w:spacing w:after="0" w:line="360" w:lineRule="auto"/>
        <w:jc w:val="both"/>
        <w:rPr>
          <w:rFonts w:cstheme="minorHAnsi"/>
        </w:rPr>
      </w:pPr>
      <w:r>
        <w:rPr>
          <w:rFonts w:cstheme="minorHAnsi"/>
        </w:rPr>
        <w:t>Quando NÃO foram encontradas anomalias ou as anomalias encontradas NÃO comprometem a segurança da barragem, mas devem ser controladas e monitoradas ao longo do tempo (Art 9º Resolução nº 236 da ANA).</w:t>
      </w:r>
    </w:p>
    <w:p>
      <w:pPr>
        <w:spacing w:after="0" w:line="360" w:lineRule="auto"/>
        <w:jc w:val="both"/>
        <w:rPr>
          <w:rFonts w:cstheme="minorHAnsi"/>
        </w:rPr>
      </w:pPr>
    </w:p>
    <w:p>
      <w:pPr>
        <w:pStyle w:val="19"/>
        <w:numPr>
          <w:ilvl w:val="0"/>
          <w:numId w:val="23"/>
        </w:numPr>
        <w:spacing w:after="0" w:line="360" w:lineRule="auto"/>
        <w:ind w:left="102" w:leftChars="0" w:right="0" w:rightChars="0" w:firstLine="0" w:firstLineChars="0"/>
        <w:jc w:val="both"/>
        <w:rPr>
          <w:rFonts w:cstheme="minorHAnsi"/>
          <w:b/>
        </w:rPr>
      </w:pPr>
      <w:r>
        <w:rPr>
          <w:rFonts w:cstheme="minorHAnsi"/>
          <w:b/>
        </w:rPr>
        <w:t>Atenção</w:t>
      </w:r>
    </w:p>
    <w:p>
      <w:pPr>
        <w:spacing w:after="0" w:line="360" w:lineRule="auto"/>
        <w:jc w:val="both"/>
        <w:rPr>
          <w:rFonts w:cstheme="minorHAnsi"/>
        </w:rPr>
      </w:pPr>
      <w:r>
        <w:rPr>
          <w:rFonts w:cstheme="minorHAnsi"/>
        </w:rPr>
        <w:t>Quando as anormalidades encontradas não comprometem a segurança da barragem à curto prazo, mas devem ser controladas e monitoradas ao longo do tempo (Art 9º Resolução nº 236 da ANA).</w:t>
      </w:r>
    </w:p>
    <w:p>
      <w:pPr>
        <w:spacing w:after="0" w:line="360" w:lineRule="auto"/>
        <w:jc w:val="both"/>
        <w:rPr>
          <w:rFonts w:cstheme="minorHAnsi"/>
        </w:rPr>
      </w:pPr>
    </w:p>
    <w:p>
      <w:pPr>
        <w:pStyle w:val="19"/>
        <w:numPr>
          <w:ilvl w:val="0"/>
          <w:numId w:val="23"/>
        </w:numPr>
        <w:spacing w:after="0" w:line="360" w:lineRule="auto"/>
        <w:ind w:left="102" w:leftChars="0" w:right="0" w:rightChars="0" w:firstLine="0" w:firstLineChars="0"/>
        <w:jc w:val="both"/>
        <w:rPr>
          <w:rFonts w:cstheme="minorHAnsi"/>
          <w:b/>
        </w:rPr>
      </w:pPr>
      <w:r>
        <w:rPr>
          <w:rFonts w:cstheme="minorHAnsi"/>
          <w:b/>
        </w:rPr>
        <w:t>Alerta</w:t>
      </w:r>
    </w:p>
    <w:p>
      <w:pPr>
        <w:spacing w:after="0" w:line="360" w:lineRule="auto"/>
        <w:jc w:val="both"/>
        <w:rPr>
          <w:rFonts w:cstheme="minorHAnsi"/>
        </w:rPr>
      </w:pPr>
      <w:r>
        <w:rPr>
          <w:rFonts w:cstheme="minorHAnsi"/>
        </w:rPr>
        <w:t>Quando as anormalidades encontradas representam risco para a segurança da barragem, devendo ser tomada providência para a solução do problema (Art 9º Resolução nº 236 da ANA).</w:t>
      </w:r>
    </w:p>
    <w:p>
      <w:pPr>
        <w:spacing w:after="0" w:line="360" w:lineRule="auto"/>
        <w:jc w:val="both"/>
        <w:rPr>
          <w:rFonts w:cstheme="minorHAnsi"/>
        </w:rPr>
      </w:pPr>
    </w:p>
    <w:p>
      <w:pPr>
        <w:pStyle w:val="19"/>
        <w:numPr>
          <w:ilvl w:val="0"/>
          <w:numId w:val="23"/>
        </w:numPr>
        <w:spacing w:after="0" w:line="360" w:lineRule="auto"/>
        <w:ind w:left="102" w:leftChars="0" w:right="0" w:rightChars="0" w:firstLine="0" w:firstLineChars="0"/>
        <w:jc w:val="both"/>
        <w:rPr>
          <w:rFonts w:cstheme="minorHAnsi"/>
          <w:b/>
        </w:rPr>
      </w:pPr>
      <w:r>
        <w:rPr>
          <w:rFonts w:cstheme="minorHAnsi"/>
          <w:b/>
        </w:rPr>
        <w:t>Emergência</w:t>
      </w:r>
    </w:p>
    <w:p>
      <w:pPr>
        <w:spacing w:after="0" w:line="360" w:lineRule="auto"/>
        <w:jc w:val="both"/>
        <w:rPr>
          <w:rFonts w:cstheme="minorHAnsi"/>
        </w:rPr>
      </w:pPr>
      <w:r>
        <w:rPr>
          <w:rFonts w:cstheme="minorHAnsi"/>
        </w:rPr>
        <w:t>Quando as anormalidades encontradas representam risco de ruptura iminente, devendo ser tomadas medidas para a prevenção e redução dos danos materiais e humanos decorrentes da ruptura da barragem (ART 9º RESOLUÇÃO 236 DA ANA).</w:t>
      </w:r>
    </w:p>
    <w:p>
      <w:pPr>
        <w:spacing w:after="0" w:line="360" w:lineRule="auto"/>
        <w:jc w:val="both"/>
        <w:rPr>
          <w:rFonts w:cstheme="minorHAnsi"/>
        </w:rPr>
      </w:pPr>
      <w:r>
        <w:rPr>
          <w:rFonts w:cstheme="minorHAnsi"/>
        </w:rPr>
        <w:t>Os produtos gerados pela inspeção visual rotineira será o Check-List de inspeção, de acordo com o padrão que será fornecido pela CONTRATANTE que eventualmente poderá ser alterado pela CONTRATADA.</w:t>
      </w:r>
    </w:p>
    <w:p>
      <w:pPr>
        <w:spacing w:after="0" w:line="360" w:lineRule="auto"/>
        <w:jc w:val="both"/>
        <w:rPr>
          <w:rFonts w:cstheme="minorHAnsi"/>
        </w:rPr>
      </w:pPr>
    </w:p>
    <w:p>
      <w:pPr>
        <w:pStyle w:val="19"/>
        <w:numPr>
          <w:ilvl w:val="0"/>
          <w:numId w:val="22"/>
        </w:numPr>
        <w:tabs>
          <w:tab w:val="left" w:pos="426"/>
        </w:tabs>
        <w:spacing w:before="240" w:after="0" w:line="360" w:lineRule="auto"/>
        <w:ind w:left="425" w:hanging="448"/>
        <w:contextualSpacing w:val="0"/>
        <w:jc w:val="both"/>
        <w:rPr>
          <w:rFonts w:cstheme="minorHAnsi"/>
          <w:b/>
        </w:rPr>
      </w:pPr>
      <w:r>
        <w:rPr>
          <w:rFonts w:cstheme="minorHAnsi"/>
          <w:b/>
        </w:rPr>
        <w:t>Inspeção de Estruturas Civis das barragens com Preenchimento de Check-List</w:t>
      </w:r>
    </w:p>
    <w:p>
      <w:pPr>
        <w:pStyle w:val="19"/>
        <w:numPr>
          <w:ilvl w:val="0"/>
          <w:numId w:val="24"/>
        </w:numPr>
        <w:spacing w:after="0" w:line="360" w:lineRule="auto"/>
        <w:ind w:left="-6" w:leftChars="0" w:right="0" w:rightChars="0"/>
        <w:jc w:val="both"/>
        <w:rPr>
          <w:rFonts w:cstheme="minorHAnsi"/>
          <w:b/>
        </w:rPr>
      </w:pPr>
      <w:r>
        <w:rPr>
          <w:rFonts w:cstheme="minorHAnsi"/>
          <w:b/>
        </w:rPr>
        <w:t>Barragens de terra</w:t>
      </w:r>
    </w:p>
    <w:p>
      <w:pPr>
        <w:pStyle w:val="19"/>
        <w:numPr>
          <w:ilvl w:val="0"/>
          <w:numId w:val="14"/>
        </w:numPr>
        <w:spacing w:after="0" w:line="360" w:lineRule="auto"/>
        <w:ind w:left="0" w:firstLine="284"/>
        <w:jc w:val="both"/>
      </w:pPr>
      <w:r>
        <w:t>Verificação do talude de montante, observando a ocorrência de erosões, solapamento, vegetação e loca;</w:t>
      </w:r>
    </w:p>
    <w:p>
      <w:pPr>
        <w:pStyle w:val="19"/>
        <w:numPr>
          <w:ilvl w:val="0"/>
          <w:numId w:val="14"/>
        </w:numPr>
        <w:spacing w:after="0" w:line="360" w:lineRule="auto"/>
        <w:ind w:left="0" w:firstLine="284"/>
        <w:jc w:val="both"/>
      </w:pPr>
      <w:r>
        <w:t>Verificação da crista, observando a ocorrência de obstrução na canaleta de drenagem, recalques, pista de pavimentação, trincas e identificação de estacas;</w:t>
      </w:r>
    </w:p>
    <w:p>
      <w:pPr>
        <w:pStyle w:val="19"/>
        <w:numPr>
          <w:ilvl w:val="0"/>
          <w:numId w:val="14"/>
        </w:numPr>
        <w:spacing w:after="0" w:line="360" w:lineRule="auto"/>
        <w:ind w:left="0" w:firstLine="284"/>
        <w:jc w:val="both"/>
      </w:pPr>
      <w:r>
        <w:t>Verificação do talude de jusante, percorrendo as bermas e áreas de segurança a jusante, observando a existência de recalques, trincas, erosões, escorregamentos, surgências, existência de formigueiros, cupinzeiros, vegetação não podada, existência de árvore, áreas desprotegidas, cavida desde animais, carreamento de materiais em drenagens e canaletas obstruídas.</w:t>
      </w:r>
    </w:p>
    <w:p>
      <w:pPr>
        <w:pStyle w:val="19"/>
        <w:spacing w:after="0" w:line="360" w:lineRule="auto"/>
        <w:ind w:left="284"/>
        <w:jc w:val="both"/>
      </w:pPr>
    </w:p>
    <w:p>
      <w:pPr>
        <w:pStyle w:val="19"/>
        <w:numPr>
          <w:ilvl w:val="0"/>
          <w:numId w:val="24"/>
        </w:numPr>
        <w:spacing w:after="0" w:line="360" w:lineRule="auto"/>
        <w:ind w:left="-6" w:leftChars="0" w:right="0" w:rightChars="0" w:firstLine="0" w:firstLineChars="0"/>
        <w:jc w:val="both"/>
        <w:rPr>
          <w:rFonts w:cstheme="minorHAnsi"/>
          <w:b/>
        </w:rPr>
      </w:pPr>
      <w:r>
        <w:rPr>
          <w:rFonts w:cstheme="minorHAnsi"/>
          <w:b/>
        </w:rPr>
        <w:t>Estruturas civis do vertedouro</w:t>
      </w:r>
    </w:p>
    <w:p>
      <w:pPr>
        <w:pStyle w:val="19"/>
        <w:numPr>
          <w:ilvl w:val="0"/>
          <w:numId w:val="14"/>
        </w:numPr>
        <w:spacing w:after="0" w:line="360" w:lineRule="auto"/>
        <w:ind w:left="0" w:firstLine="284"/>
        <w:jc w:val="both"/>
      </w:pPr>
      <w:r>
        <w:t>Verificação das condições do concreto das vigas, contraforte e laje de acabamento (trincas, fragmentação, desgaste superficial);</w:t>
      </w:r>
    </w:p>
    <w:p>
      <w:pPr>
        <w:pStyle w:val="19"/>
        <w:numPr>
          <w:ilvl w:val="0"/>
          <w:numId w:val="14"/>
        </w:numPr>
        <w:spacing w:after="0" w:line="360" w:lineRule="auto"/>
        <w:ind w:left="0" w:firstLine="284"/>
        <w:jc w:val="both"/>
      </w:pPr>
      <w:r>
        <w:t>Verificação da percolação através de juntas, trincas ou pelo concreto;</w:t>
      </w:r>
    </w:p>
    <w:p>
      <w:pPr>
        <w:pStyle w:val="19"/>
        <w:numPr>
          <w:ilvl w:val="0"/>
          <w:numId w:val="14"/>
        </w:numPr>
        <w:spacing w:after="0" w:line="360" w:lineRule="auto"/>
        <w:ind w:left="0" w:firstLine="284"/>
        <w:jc w:val="both"/>
      </w:pPr>
      <w:r>
        <w:t>Verificação das juntas verticais de contração (abertura, deslocamento relativo);</w:t>
      </w:r>
    </w:p>
    <w:p>
      <w:pPr>
        <w:pStyle w:val="19"/>
        <w:numPr>
          <w:ilvl w:val="0"/>
          <w:numId w:val="14"/>
        </w:numPr>
        <w:spacing w:after="0" w:line="360" w:lineRule="auto"/>
        <w:ind w:left="0" w:firstLine="284"/>
        <w:jc w:val="both"/>
      </w:pPr>
      <w:r>
        <w:t>Verificação das juntas horizontais de contração (abertura, infiltração);</w:t>
      </w:r>
    </w:p>
    <w:p>
      <w:pPr>
        <w:pStyle w:val="19"/>
        <w:numPr>
          <w:ilvl w:val="0"/>
          <w:numId w:val="14"/>
        </w:numPr>
        <w:spacing w:after="0" w:line="360" w:lineRule="auto"/>
        <w:ind w:left="0" w:firstLine="284"/>
        <w:jc w:val="both"/>
      </w:pPr>
      <w:r>
        <w:t>Verificação do descalçamento ou erosões na rocha de jusante;</w:t>
      </w:r>
    </w:p>
    <w:p>
      <w:pPr>
        <w:pStyle w:val="19"/>
        <w:numPr>
          <w:ilvl w:val="0"/>
          <w:numId w:val="14"/>
        </w:numPr>
        <w:spacing w:after="0" w:line="360" w:lineRule="auto"/>
        <w:ind w:left="0" w:firstLine="284"/>
        <w:jc w:val="both"/>
      </w:pPr>
      <w:r>
        <w:t>Verificação da percolação através de ombreiras ou fundações (surgências, lixiviação, vazão, coloração, etc);</w:t>
      </w:r>
    </w:p>
    <w:p>
      <w:pPr>
        <w:pStyle w:val="19"/>
        <w:numPr>
          <w:ilvl w:val="0"/>
          <w:numId w:val="14"/>
        </w:numPr>
        <w:spacing w:after="0" w:line="360" w:lineRule="auto"/>
        <w:ind w:left="0" w:firstLine="284"/>
        <w:jc w:val="both"/>
      </w:pPr>
      <w:r>
        <w:t>Verificação das condições das ombreiras expostas (indicações de instabilidade ou escorregamento).</w:t>
      </w:r>
    </w:p>
    <w:p>
      <w:pPr>
        <w:pStyle w:val="19"/>
        <w:spacing w:after="0" w:line="360" w:lineRule="auto"/>
        <w:ind w:left="284"/>
        <w:jc w:val="both"/>
      </w:pPr>
    </w:p>
    <w:p>
      <w:pPr>
        <w:pStyle w:val="19"/>
        <w:numPr>
          <w:ilvl w:val="0"/>
          <w:numId w:val="24"/>
        </w:numPr>
        <w:spacing w:after="0" w:line="360" w:lineRule="auto"/>
        <w:ind w:left="-6" w:leftChars="0" w:right="0" w:rightChars="0" w:firstLine="0" w:firstLineChars="0"/>
        <w:jc w:val="both"/>
        <w:rPr>
          <w:rFonts w:cstheme="minorHAnsi"/>
          <w:b/>
        </w:rPr>
      </w:pPr>
      <w:r>
        <w:rPr>
          <w:rFonts w:cstheme="minorHAnsi"/>
          <w:b/>
        </w:rPr>
        <w:t>Muros centrais e laterais</w:t>
      </w:r>
    </w:p>
    <w:p>
      <w:pPr>
        <w:pStyle w:val="19"/>
        <w:numPr>
          <w:ilvl w:val="0"/>
          <w:numId w:val="14"/>
        </w:numPr>
        <w:spacing w:after="0" w:line="360" w:lineRule="auto"/>
        <w:ind w:left="0" w:firstLine="284"/>
        <w:jc w:val="both"/>
      </w:pPr>
      <w:r>
        <w:t>Verificação das condições do concreto (trincas, fragmentação e desgaste superficial);</w:t>
      </w:r>
    </w:p>
    <w:p>
      <w:pPr>
        <w:pStyle w:val="19"/>
        <w:numPr>
          <w:ilvl w:val="0"/>
          <w:numId w:val="14"/>
        </w:numPr>
        <w:spacing w:after="0" w:line="360" w:lineRule="auto"/>
        <w:ind w:left="0" w:firstLine="284"/>
        <w:jc w:val="both"/>
      </w:pPr>
      <w:r>
        <w:t>Verificação da percolação através de juntas, trincas ou pelo concreto;</w:t>
      </w:r>
    </w:p>
    <w:p>
      <w:pPr>
        <w:pStyle w:val="19"/>
        <w:numPr>
          <w:ilvl w:val="0"/>
          <w:numId w:val="14"/>
        </w:numPr>
        <w:spacing w:after="0" w:line="360" w:lineRule="auto"/>
        <w:ind w:left="0" w:firstLine="284"/>
        <w:jc w:val="both"/>
      </w:pPr>
      <w:r>
        <w:t>Verificação das juntas verticais de contração (abertura, deslocamento relativo);</w:t>
      </w:r>
    </w:p>
    <w:p>
      <w:pPr>
        <w:pStyle w:val="19"/>
        <w:numPr>
          <w:ilvl w:val="0"/>
          <w:numId w:val="14"/>
        </w:numPr>
        <w:spacing w:after="0" w:line="360" w:lineRule="auto"/>
        <w:ind w:left="0" w:firstLine="284"/>
        <w:jc w:val="both"/>
      </w:pPr>
      <w:r>
        <w:t>Verificação das juntas horizontais de contração (abertura, infiltração);</w:t>
      </w:r>
    </w:p>
    <w:p>
      <w:pPr>
        <w:pStyle w:val="19"/>
        <w:numPr>
          <w:ilvl w:val="0"/>
          <w:numId w:val="14"/>
        </w:numPr>
        <w:spacing w:after="0" w:line="360" w:lineRule="auto"/>
        <w:ind w:left="0" w:firstLine="284"/>
        <w:jc w:val="both"/>
      </w:pPr>
      <w:r>
        <w:t>Verificação do descalçamento ou erosões no talude de jusante;</w:t>
      </w:r>
    </w:p>
    <w:p>
      <w:pPr>
        <w:pStyle w:val="19"/>
        <w:numPr>
          <w:ilvl w:val="0"/>
          <w:numId w:val="14"/>
        </w:numPr>
        <w:spacing w:after="0" w:line="360" w:lineRule="auto"/>
        <w:ind w:left="0" w:firstLine="284"/>
        <w:jc w:val="both"/>
      </w:pPr>
      <w:r>
        <w:t>Verificação da percolação através de ombreiras ou fundações (surgências, lixiviação, vazão, coloração, etc);</w:t>
      </w:r>
    </w:p>
    <w:p>
      <w:pPr>
        <w:pStyle w:val="19"/>
        <w:numPr>
          <w:ilvl w:val="0"/>
          <w:numId w:val="14"/>
        </w:numPr>
        <w:spacing w:after="0" w:line="360" w:lineRule="auto"/>
        <w:ind w:left="0" w:firstLine="284"/>
        <w:jc w:val="both"/>
      </w:pPr>
      <w:r>
        <w:t>Verificação das condições das ombreiras expostas (indicações de instabilidade ou escorregamento).</w:t>
      </w:r>
    </w:p>
    <w:p>
      <w:pPr>
        <w:pStyle w:val="19"/>
        <w:spacing w:after="0" w:line="360" w:lineRule="auto"/>
        <w:ind w:left="284"/>
        <w:jc w:val="both"/>
      </w:pPr>
    </w:p>
    <w:p>
      <w:pPr>
        <w:pStyle w:val="19"/>
        <w:numPr>
          <w:ilvl w:val="0"/>
          <w:numId w:val="24"/>
        </w:numPr>
        <w:spacing w:after="0" w:line="360" w:lineRule="auto"/>
        <w:ind w:left="-6" w:leftChars="0" w:right="0" w:rightChars="0" w:firstLine="0" w:firstLineChars="0"/>
        <w:jc w:val="both"/>
        <w:rPr>
          <w:rFonts w:cstheme="minorHAnsi"/>
          <w:b/>
        </w:rPr>
      </w:pPr>
      <w:r>
        <w:rPr>
          <w:rFonts w:cstheme="minorHAnsi"/>
          <w:b/>
        </w:rPr>
        <w:t>Tomada d’água</w:t>
      </w:r>
    </w:p>
    <w:p>
      <w:pPr>
        <w:pStyle w:val="19"/>
        <w:numPr>
          <w:ilvl w:val="0"/>
          <w:numId w:val="14"/>
        </w:numPr>
        <w:spacing w:after="0" w:line="360" w:lineRule="auto"/>
        <w:ind w:left="0" w:firstLine="284"/>
        <w:jc w:val="both"/>
      </w:pPr>
      <w:r>
        <w:t>Verificação das condições do concreto (trincas, fragmentação, desgaste superficial);</w:t>
      </w:r>
    </w:p>
    <w:p>
      <w:pPr>
        <w:pStyle w:val="19"/>
        <w:numPr>
          <w:ilvl w:val="0"/>
          <w:numId w:val="14"/>
        </w:numPr>
        <w:spacing w:after="0" w:line="360" w:lineRule="auto"/>
        <w:ind w:left="0" w:firstLine="284"/>
        <w:jc w:val="both"/>
      </w:pPr>
      <w:r>
        <w:t>Verificação da percolação através de juntas, trincas ou pelo concreto;</w:t>
      </w:r>
    </w:p>
    <w:p>
      <w:pPr>
        <w:pStyle w:val="19"/>
        <w:numPr>
          <w:ilvl w:val="0"/>
          <w:numId w:val="14"/>
        </w:numPr>
        <w:spacing w:after="0" w:line="360" w:lineRule="auto"/>
        <w:ind w:left="0" w:firstLine="284"/>
        <w:jc w:val="both"/>
      </w:pPr>
      <w:r>
        <w:t>Verificação das juntas verticais de contração (abertura, deslocamento relativo);</w:t>
      </w:r>
    </w:p>
    <w:p>
      <w:pPr>
        <w:pStyle w:val="19"/>
        <w:numPr>
          <w:ilvl w:val="0"/>
          <w:numId w:val="14"/>
        </w:numPr>
        <w:spacing w:after="0" w:line="360" w:lineRule="auto"/>
        <w:ind w:left="0" w:firstLine="284"/>
        <w:jc w:val="both"/>
      </w:pPr>
      <w:r>
        <w:t>Verificação das juntas horizontais de contração (abertura, infiltração);</w:t>
      </w:r>
    </w:p>
    <w:p>
      <w:pPr>
        <w:pStyle w:val="19"/>
        <w:numPr>
          <w:ilvl w:val="0"/>
          <w:numId w:val="14"/>
        </w:numPr>
        <w:spacing w:after="0" w:line="360" w:lineRule="auto"/>
        <w:ind w:left="0" w:firstLine="284"/>
        <w:jc w:val="both"/>
      </w:pPr>
      <w:r>
        <w:t>Verificação dos sinais de afundamento ou de erosões na crista da tomada d’água;</w:t>
      </w:r>
    </w:p>
    <w:p>
      <w:pPr>
        <w:pStyle w:val="19"/>
        <w:numPr>
          <w:ilvl w:val="0"/>
          <w:numId w:val="14"/>
        </w:numPr>
        <w:spacing w:after="0" w:line="360" w:lineRule="auto"/>
        <w:ind w:left="0" w:firstLine="284"/>
        <w:jc w:val="both"/>
      </w:pPr>
      <w:r>
        <w:t>Verificação do descalçamento ou erosões na região de jusante;</w:t>
      </w:r>
    </w:p>
    <w:p>
      <w:pPr>
        <w:pStyle w:val="19"/>
        <w:numPr>
          <w:ilvl w:val="0"/>
          <w:numId w:val="14"/>
        </w:numPr>
        <w:spacing w:after="0" w:line="360" w:lineRule="auto"/>
        <w:ind w:left="0" w:firstLine="284"/>
        <w:jc w:val="both"/>
      </w:pPr>
      <w:r>
        <w:t>Verificação das condições das guias e nichos da comporta ensecadeira;</w:t>
      </w:r>
    </w:p>
    <w:p>
      <w:pPr>
        <w:pStyle w:val="19"/>
        <w:numPr>
          <w:ilvl w:val="0"/>
          <w:numId w:val="14"/>
        </w:numPr>
        <w:spacing w:after="0" w:line="360" w:lineRule="auto"/>
        <w:ind w:left="0" w:firstLine="284"/>
        <w:jc w:val="both"/>
      </w:pPr>
      <w:r>
        <w:t>Verificação da situação e estado de conservação das peças;</w:t>
      </w:r>
    </w:p>
    <w:p>
      <w:pPr>
        <w:pStyle w:val="19"/>
        <w:numPr>
          <w:ilvl w:val="0"/>
          <w:numId w:val="14"/>
        </w:numPr>
        <w:spacing w:after="0" w:line="360" w:lineRule="auto"/>
        <w:ind w:left="0" w:firstLine="284"/>
        <w:jc w:val="both"/>
      </w:pPr>
      <w:r>
        <w:t>Verificação da percolação através de ombreiras ou fundações (surgências, lixiviação, vazão, coloração, etc);</w:t>
      </w:r>
    </w:p>
    <w:p>
      <w:pPr>
        <w:pStyle w:val="19"/>
        <w:numPr>
          <w:ilvl w:val="0"/>
          <w:numId w:val="14"/>
        </w:numPr>
        <w:spacing w:after="0" w:line="360" w:lineRule="auto"/>
        <w:ind w:left="0" w:firstLine="284"/>
        <w:jc w:val="both"/>
      </w:pPr>
      <w:r>
        <w:t>Verificação das condições das ombreiras expostas (indicações de instabilidade ou escorregamento).</w:t>
      </w:r>
    </w:p>
    <w:p>
      <w:pPr>
        <w:pStyle w:val="19"/>
        <w:spacing w:after="0" w:line="360" w:lineRule="auto"/>
        <w:ind w:left="284"/>
        <w:jc w:val="both"/>
      </w:pPr>
    </w:p>
    <w:p>
      <w:pPr>
        <w:pStyle w:val="19"/>
        <w:spacing w:after="0" w:line="360" w:lineRule="auto"/>
        <w:ind w:left="284"/>
        <w:jc w:val="both"/>
      </w:pPr>
    </w:p>
    <w:p>
      <w:pPr>
        <w:pStyle w:val="19"/>
        <w:numPr>
          <w:ilvl w:val="0"/>
          <w:numId w:val="24"/>
        </w:numPr>
        <w:spacing w:after="0" w:line="360" w:lineRule="auto"/>
        <w:ind w:left="-6" w:leftChars="0" w:right="0" w:rightChars="0" w:firstLine="0" w:firstLineChars="0"/>
        <w:jc w:val="both"/>
        <w:rPr>
          <w:rFonts w:cstheme="minorHAnsi"/>
          <w:b/>
        </w:rPr>
      </w:pPr>
      <w:r>
        <w:rPr>
          <w:rFonts w:cstheme="minorHAnsi"/>
          <w:b/>
        </w:rPr>
        <w:t>Canal de fuga</w:t>
      </w:r>
    </w:p>
    <w:p>
      <w:pPr>
        <w:pStyle w:val="19"/>
        <w:numPr>
          <w:ilvl w:val="0"/>
          <w:numId w:val="14"/>
        </w:numPr>
        <w:spacing w:after="0" w:line="360" w:lineRule="auto"/>
        <w:ind w:left="0" w:firstLine="284"/>
        <w:jc w:val="both"/>
      </w:pPr>
      <w:r>
        <w:t>Verificação das condições do concreto (trincas, fragmentação, desgaste superficial na bacia de dissipação);</w:t>
      </w:r>
    </w:p>
    <w:p>
      <w:pPr>
        <w:pStyle w:val="19"/>
        <w:numPr>
          <w:ilvl w:val="0"/>
          <w:numId w:val="14"/>
        </w:numPr>
        <w:spacing w:after="0" w:line="360" w:lineRule="auto"/>
        <w:ind w:left="0" w:firstLine="284"/>
        <w:jc w:val="both"/>
      </w:pPr>
      <w:r>
        <w:t>Verificação da situação submersa do contato da bacia com o leito do rio;</w:t>
      </w:r>
    </w:p>
    <w:p>
      <w:pPr>
        <w:pStyle w:val="19"/>
        <w:numPr>
          <w:ilvl w:val="0"/>
          <w:numId w:val="14"/>
        </w:numPr>
        <w:spacing w:after="0" w:line="360" w:lineRule="auto"/>
        <w:ind w:left="0" w:firstLine="284"/>
        <w:jc w:val="both"/>
      </w:pPr>
      <w:r>
        <w:t>Verificação da situação do enrocamento de proteção a jusante do canal;</w:t>
      </w:r>
    </w:p>
    <w:p>
      <w:pPr>
        <w:pStyle w:val="19"/>
        <w:numPr>
          <w:ilvl w:val="0"/>
          <w:numId w:val="14"/>
        </w:numPr>
        <w:spacing w:after="0" w:line="360" w:lineRule="auto"/>
        <w:ind w:left="0" w:firstLine="284"/>
        <w:jc w:val="both"/>
      </w:pPr>
      <w:r>
        <w:t>Verificação dos sinais de afundamento ou erosões na crista do canal;</w:t>
      </w:r>
    </w:p>
    <w:p>
      <w:pPr>
        <w:pStyle w:val="19"/>
        <w:numPr>
          <w:ilvl w:val="0"/>
          <w:numId w:val="14"/>
        </w:numPr>
        <w:spacing w:after="0" w:line="360" w:lineRule="auto"/>
        <w:ind w:left="0" w:firstLine="284"/>
        <w:jc w:val="both"/>
      </w:pPr>
      <w:r>
        <w:t>Verificação das condições das guias e nichos da comporta de jusante;</w:t>
      </w:r>
    </w:p>
    <w:p>
      <w:pPr>
        <w:pStyle w:val="19"/>
        <w:numPr>
          <w:ilvl w:val="0"/>
          <w:numId w:val="14"/>
        </w:numPr>
        <w:spacing w:after="0" w:line="360" w:lineRule="auto"/>
        <w:ind w:left="0" w:firstLine="284"/>
        <w:jc w:val="both"/>
      </w:pPr>
      <w:r>
        <w:t>Verificação da situação e estado de conservação das grades.</w:t>
      </w:r>
    </w:p>
    <w:p>
      <w:pPr>
        <w:pStyle w:val="19"/>
        <w:numPr>
          <w:ilvl w:val="0"/>
          <w:numId w:val="22"/>
        </w:numPr>
        <w:tabs>
          <w:tab w:val="left" w:pos="426"/>
        </w:tabs>
        <w:spacing w:before="240" w:after="0" w:line="360" w:lineRule="auto"/>
        <w:ind w:left="425" w:hanging="448"/>
        <w:contextualSpacing w:val="0"/>
        <w:jc w:val="both"/>
        <w:rPr>
          <w:rFonts w:cstheme="minorHAnsi"/>
          <w:b/>
        </w:rPr>
      </w:pPr>
      <w:r>
        <w:rPr>
          <w:rFonts w:cstheme="minorHAnsi"/>
          <w:b/>
        </w:rPr>
        <w:t>Avaliação de Barragens de Terra e Fundações</w:t>
      </w:r>
    </w:p>
    <w:p>
      <w:pPr>
        <w:pStyle w:val="19"/>
        <w:numPr>
          <w:ilvl w:val="0"/>
          <w:numId w:val="25"/>
        </w:numPr>
        <w:spacing w:after="0" w:line="360" w:lineRule="auto"/>
        <w:ind w:left="-6" w:leftChars="0" w:right="0" w:rightChars="0"/>
        <w:jc w:val="both"/>
        <w:rPr>
          <w:rFonts w:cstheme="minorHAnsi"/>
          <w:b/>
        </w:rPr>
      </w:pPr>
      <w:r>
        <w:rPr>
          <w:rFonts w:cstheme="minorHAnsi"/>
          <w:b/>
        </w:rPr>
        <w:t>Percolação e água nos solos</w:t>
      </w:r>
    </w:p>
    <w:p>
      <w:pPr>
        <w:spacing w:after="0" w:line="360" w:lineRule="auto"/>
        <w:jc w:val="both"/>
        <w:rPr>
          <w:rFonts w:cstheme="minorHAnsi"/>
        </w:rPr>
      </w:pPr>
      <w:r>
        <w:rPr>
          <w:rFonts w:cstheme="minorHAnsi"/>
        </w:rPr>
        <w:t>Na construção de uma barragem de terra, existe a necessidade, dentre inúmeras outras coisas, de quantificar a água que percola através da barragem, fundação e ao seu entorno para que se evite ao máximo que a água carregue partículas do solo, o que poderia gerar um problema chamado de piping. E sob ação de altas pressões levar enormes maciços ao colapso.</w:t>
      </w:r>
    </w:p>
    <w:p>
      <w:pPr>
        <w:spacing w:after="0" w:line="360" w:lineRule="auto"/>
        <w:jc w:val="both"/>
        <w:rPr>
          <w:rFonts w:cstheme="minorHAnsi"/>
        </w:rPr>
      </w:pPr>
      <w:r>
        <w:rPr>
          <w:rFonts w:cstheme="minorHAnsi"/>
        </w:rPr>
        <w:t>O estudo do fluxo de água através do solo é feito lançando-se mão de um procedimento gráfico conhecido como rede de fluxo. O processo consiste basicamente em desenhar dentro da região em que ocorre o fluxo, dois conjuntos de curvas conhecidas como linhas de fluxo e linhas equipotenciais. A base fundamental teórica para resolução de problemas de fluxo de água foi proposta por Casagrande (1937), a partir das proposições de Forchheimer.</w:t>
      </w:r>
    </w:p>
    <w:p>
      <w:pPr>
        <w:spacing w:after="0" w:line="360" w:lineRule="auto"/>
        <w:jc w:val="both"/>
        <w:rPr>
          <w:rFonts w:cstheme="minorHAnsi"/>
        </w:rPr>
      </w:pPr>
      <w:r>
        <w:rPr>
          <w:rFonts w:cstheme="minorHAnsi"/>
        </w:rPr>
        <w:t>O fluxo de água através de um meio poroso é descrito por uma equação diferencial (equação de Laplace), bastante conhecida e estudada, pois que se aplica a outros fenômenos físicos como, por exemplo, fluxo elétrico através de meios resistivos.</w:t>
      </w:r>
    </w:p>
    <w:p>
      <w:pPr>
        <w:spacing w:after="0" w:line="360" w:lineRule="auto"/>
        <w:jc w:val="both"/>
        <w:rPr>
          <w:rFonts w:cstheme="minorHAnsi"/>
        </w:rPr>
      </w:pPr>
      <w:r>
        <w:rPr>
          <w:rFonts w:cstheme="minorHAnsi"/>
        </w:rPr>
        <w:t>Normalmente o problema é tratado no plano, como geralmente acontece em quase todos os problemas práticos de mecânica dos solos, onde se considera uma seção típica do maciço situada entre dois planos verticais e paralelos, de espessura unitária (Vilar; Bueno, 1979).</w:t>
      </w:r>
    </w:p>
    <w:p>
      <w:pPr>
        <w:spacing w:after="0" w:line="360" w:lineRule="auto"/>
        <w:jc w:val="both"/>
        <w:rPr>
          <w:rFonts w:cstheme="minorHAnsi"/>
        </w:rPr>
      </w:pPr>
    </w:p>
    <w:p>
      <w:pPr>
        <w:pStyle w:val="19"/>
        <w:numPr>
          <w:ilvl w:val="0"/>
          <w:numId w:val="25"/>
        </w:numPr>
        <w:spacing w:after="0" w:line="360" w:lineRule="auto"/>
        <w:ind w:left="-6" w:leftChars="0" w:right="0" w:rightChars="0" w:firstLine="0" w:firstLineChars="0"/>
        <w:jc w:val="both"/>
        <w:rPr>
          <w:rFonts w:cstheme="minorHAnsi"/>
          <w:b/>
        </w:rPr>
      </w:pPr>
      <w:r>
        <w:rPr>
          <w:rFonts w:cstheme="minorHAnsi"/>
          <w:b/>
        </w:rPr>
        <w:t>Estabilidade de Taludes</w:t>
      </w:r>
    </w:p>
    <w:p>
      <w:pPr>
        <w:spacing w:after="0" w:line="360" w:lineRule="auto"/>
        <w:jc w:val="both"/>
        <w:rPr>
          <w:rFonts w:cstheme="minorHAnsi"/>
        </w:rPr>
      </w:pPr>
      <w:r>
        <w:rPr>
          <w:rFonts w:cstheme="minorHAnsi"/>
        </w:rPr>
        <w:t>Os métodos para a análise da estabilidade de taludes baseiam-se na hipótese de haver equilíbrio numa massa de solo, tomada como corpo rígido-plástico, na iminência de entrar em um processo de escorregamento, daí a denominação geral de métodos de equilíbrio-limite.</w:t>
      </w:r>
    </w:p>
    <w:p>
      <w:pPr>
        <w:spacing w:after="0" w:line="360" w:lineRule="auto"/>
        <w:jc w:val="both"/>
        <w:rPr>
          <w:rFonts w:cstheme="minorHAnsi"/>
        </w:rPr>
      </w:pPr>
    </w:p>
    <w:p>
      <w:pPr>
        <w:spacing w:after="0" w:line="360" w:lineRule="auto"/>
        <w:jc w:val="both"/>
        <w:rPr>
          <w:rFonts w:cstheme="minorHAnsi"/>
        </w:rPr>
      </w:pPr>
    </w:p>
    <w:p>
      <w:pPr>
        <w:pStyle w:val="19"/>
        <w:numPr>
          <w:ilvl w:val="0"/>
          <w:numId w:val="25"/>
        </w:numPr>
        <w:spacing w:after="0" w:line="360" w:lineRule="auto"/>
        <w:ind w:left="-6" w:leftChars="0" w:right="0" w:rightChars="0" w:firstLine="0" w:firstLineChars="0"/>
        <w:jc w:val="both"/>
        <w:rPr>
          <w:rFonts w:cstheme="minorHAnsi"/>
          <w:b/>
        </w:rPr>
      </w:pPr>
      <w:r>
        <w:rPr>
          <w:rFonts w:cstheme="minorHAnsi"/>
          <w:b/>
        </w:rPr>
        <w:t>Verificação da estabilidade dos taludes</w:t>
      </w:r>
    </w:p>
    <w:p>
      <w:pPr>
        <w:spacing w:after="0" w:line="360" w:lineRule="auto"/>
        <w:jc w:val="both"/>
        <w:rPr>
          <w:rFonts w:cstheme="minorHAnsi"/>
        </w:rPr>
      </w:pPr>
      <w:r>
        <w:rPr>
          <w:rFonts w:cstheme="minorHAnsi"/>
        </w:rPr>
        <w:t>Análise da estabilidade das estruturas de terra usando software que identifique a superfície crítica, com condição de nível d’água normal, nível d’água máximo-maximorum.</w:t>
      </w:r>
    </w:p>
    <w:p>
      <w:pPr>
        <w:spacing w:after="0" w:line="360" w:lineRule="auto"/>
        <w:jc w:val="both"/>
      </w:pPr>
      <w:r>
        <w:rPr>
          <w:rFonts w:cstheme="minorHAnsi"/>
        </w:rPr>
        <w:t>Os fatores de segurança obtidos serão analisados juntamente com os critérios de projeto, estabelecendo</w:t>
      </w:r>
      <w:r>
        <w:rPr>
          <w:spacing w:val="2"/>
        </w:rPr>
        <w:t>-</w:t>
      </w:r>
      <w:r>
        <w:t>se</w:t>
      </w:r>
      <w:r>
        <w:rPr>
          <w:spacing w:val="1"/>
        </w:rPr>
        <w:t xml:space="preserve"> </w:t>
      </w:r>
      <w:r>
        <w:rPr>
          <w:spacing w:val="3"/>
        </w:rPr>
        <w:t>assim</w:t>
      </w:r>
      <w:r>
        <w:rPr>
          <w:spacing w:val="-22"/>
        </w:rPr>
        <w:t xml:space="preserve"> </w:t>
      </w:r>
      <w:r>
        <w:rPr>
          <w:spacing w:val="3"/>
        </w:rPr>
        <w:t>as</w:t>
      </w:r>
      <w:r>
        <w:rPr>
          <w:spacing w:val="-15"/>
        </w:rPr>
        <w:t xml:space="preserve"> </w:t>
      </w:r>
      <w:r>
        <w:t>condições</w:t>
      </w:r>
      <w:r>
        <w:rPr>
          <w:spacing w:val="-14"/>
        </w:rPr>
        <w:t xml:space="preserve"> </w:t>
      </w:r>
      <w:r>
        <w:t>de</w:t>
      </w:r>
      <w:r>
        <w:rPr>
          <w:spacing w:val="2"/>
        </w:rPr>
        <w:t xml:space="preserve"> </w:t>
      </w:r>
      <w:r>
        <w:t>segurança</w:t>
      </w:r>
      <w:r>
        <w:rPr>
          <w:spacing w:val="-10"/>
        </w:rPr>
        <w:t xml:space="preserve"> </w:t>
      </w:r>
      <w:r>
        <w:t>da</w:t>
      </w:r>
      <w:r>
        <w:rPr>
          <w:spacing w:val="-10"/>
        </w:rPr>
        <w:t xml:space="preserve"> </w:t>
      </w:r>
      <w:r>
        <w:t>barragem.</w:t>
      </w:r>
    </w:p>
    <w:p>
      <w:pPr>
        <w:pStyle w:val="19"/>
        <w:numPr>
          <w:ilvl w:val="0"/>
          <w:numId w:val="22"/>
        </w:numPr>
        <w:tabs>
          <w:tab w:val="left" w:pos="426"/>
        </w:tabs>
        <w:spacing w:before="240" w:after="0" w:line="360" w:lineRule="auto"/>
        <w:ind w:left="425" w:hanging="448"/>
        <w:contextualSpacing w:val="0"/>
        <w:jc w:val="both"/>
        <w:rPr>
          <w:rFonts w:cstheme="minorHAnsi"/>
          <w:b/>
        </w:rPr>
      </w:pPr>
      <w:r>
        <w:rPr>
          <w:rFonts w:cstheme="minorHAnsi"/>
          <w:b/>
        </w:rPr>
        <w:t>Emissão de Informe Mensal de Segurança</w:t>
      </w:r>
    </w:p>
    <w:p>
      <w:pPr>
        <w:spacing w:after="0" w:line="360" w:lineRule="auto"/>
        <w:jc w:val="both"/>
        <w:rPr>
          <w:rFonts w:cstheme="minorHAnsi"/>
        </w:rPr>
      </w:pPr>
      <w:r>
        <w:rPr>
          <w:rFonts w:cstheme="minorHAnsi"/>
        </w:rPr>
        <w:t>Engenheiros especializados receberão as informações do banco de dados gerado pelos leituristas, será desenvolvida a análise de consistência, atualização dos gráficos do comportamento dos instrumentos, bem como análise dos check-lists preenchidos para emissão do informe mensal de segurança de barragens a ser disponibilizado até o 10° dia útil do mês subsequente para o gestor de segurança de barragens.</w:t>
      </w:r>
    </w:p>
    <w:p>
      <w:pPr>
        <w:spacing w:after="0" w:line="360" w:lineRule="auto"/>
        <w:jc w:val="both"/>
        <w:rPr>
          <w:rFonts w:cstheme="minorHAnsi"/>
        </w:rPr>
      </w:pPr>
      <w:r>
        <w:rPr>
          <w:rFonts w:cstheme="minorHAnsi"/>
        </w:rPr>
        <w:t>Neste documento deverão ser contempladas eventuais medidas corretivas que se julgarem necessárias efetuar nos empreendimentos.</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8" w:name="_Toc3992692"/>
      <w:r>
        <w:rPr>
          <w:rFonts w:eastAsia="Times New Roman" w:asciiTheme="minorHAnsi" w:hAnsiTheme="minorHAnsi" w:cstheme="minorHAnsi"/>
          <w:b/>
          <w:color w:val="auto"/>
        </w:rPr>
        <w:t>Volume V</w:t>
      </w:r>
      <w:bookmarkEnd w:id="8"/>
    </w:p>
    <w:p>
      <w:pPr>
        <w:spacing w:after="0" w:line="360" w:lineRule="auto"/>
        <w:jc w:val="both"/>
        <w:rPr>
          <w:rFonts w:cstheme="minorHAnsi"/>
        </w:rPr>
      </w:pPr>
      <w:r>
        <w:rPr>
          <w:rFonts w:cstheme="minorHAnsi"/>
        </w:rPr>
        <w:t>Para garantir a segurança da barragem ao longo da sua vida útil devem ser adotadas medidas de prevenção e controle dessas condições, tais medidas se devidamente implementadas, asseguram uma probabilidade de ocorrência de acidente reduzida ou praticamente nula. Para tanto as condições de segurança da barragem devem ser periodicamente revisadas levando-se em consideração eventuais alterações resultantes do envelhecimento e deterioração das estruturas, ou de outros fatores, tais como o aumento da ocupação nos vales a jusante.</w:t>
      </w:r>
    </w:p>
    <w:p>
      <w:pPr>
        <w:spacing w:after="0" w:line="360" w:lineRule="auto"/>
        <w:jc w:val="both"/>
        <w:rPr>
          <w:rFonts w:cstheme="minorHAnsi"/>
        </w:rPr>
      </w:pPr>
      <w:r>
        <w:rPr>
          <w:rFonts w:cstheme="minorHAnsi"/>
        </w:rPr>
        <w:t>Tal revisão deve contemplar:</w:t>
      </w:r>
    </w:p>
    <w:p>
      <w:pPr>
        <w:pStyle w:val="19"/>
        <w:numPr>
          <w:ilvl w:val="0"/>
          <w:numId w:val="14"/>
        </w:numPr>
        <w:spacing w:after="0" w:line="360" w:lineRule="auto"/>
        <w:ind w:left="-142" w:firstLine="426"/>
        <w:jc w:val="both"/>
      </w:pPr>
      <w:r>
        <w:t>Inspeção detalhada;</w:t>
      </w:r>
    </w:p>
    <w:p>
      <w:pPr>
        <w:pStyle w:val="19"/>
        <w:numPr>
          <w:ilvl w:val="0"/>
          <w:numId w:val="14"/>
        </w:numPr>
        <w:spacing w:after="0" w:line="360" w:lineRule="auto"/>
        <w:ind w:left="-142" w:firstLine="426"/>
        <w:jc w:val="both"/>
      </w:pPr>
      <w:r>
        <w:t>Estudos hidrológicos;</w:t>
      </w:r>
    </w:p>
    <w:p>
      <w:pPr>
        <w:pStyle w:val="19"/>
        <w:numPr>
          <w:ilvl w:val="0"/>
          <w:numId w:val="14"/>
        </w:numPr>
        <w:spacing w:after="0" w:line="360" w:lineRule="auto"/>
        <w:ind w:left="-142" w:firstLine="426"/>
        <w:jc w:val="both"/>
      </w:pPr>
      <w:r>
        <w:t>Estudos geológicos e geotécnicos;</w:t>
      </w:r>
    </w:p>
    <w:p>
      <w:pPr>
        <w:pStyle w:val="19"/>
        <w:numPr>
          <w:ilvl w:val="0"/>
          <w:numId w:val="14"/>
        </w:numPr>
        <w:spacing w:after="0" w:line="360" w:lineRule="auto"/>
        <w:ind w:left="-142" w:firstLine="426"/>
        <w:jc w:val="both"/>
      </w:pPr>
      <w:r>
        <w:t>Comportamento de fundação;</w:t>
      </w:r>
    </w:p>
    <w:p>
      <w:pPr>
        <w:pStyle w:val="19"/>
        <w:numPr>
          <w:ilvl w:val="0"/>
          <w:numId w:val="14"/>
        </w:numPr>
        <w:spacing w:after="0" w:line="360" w:lineRule="auto"/>
        <w:ind w:left="-142" w:firstLine="426"/>
        <w:jc w:val="both"/>
      </w:pPr>
      <w:r>
        <w:t>Avaliação de estruturas extravasoras e de operação;</w:t>
      </w:r>
    </w:p>
    <w:p>
      <w:pPr>
        <w:pStyle w:val="19"/>
        <w:numPr>
          <w:ilvl w:val="0"/>
          <w:numId w:val="14"/>
        </w:numPr>
        <w:spacing w:after="0" w:line="360" w:lineRule="auto"/>
        <w:ind w:left="-142" w:firstLine="426"/>
        <w:jc w:val="both"/>
      </w:pPr>
      <w:r>
        <w:t>Revisão dos procedimentos de operação e manutenção;</w:t>
      </w:r>
    </w:p>
    <w:p>
      <w:pPr>
        <w:pStyle w:val="19"/>
        <w:numPr>
          <w:ilvl w:val="0"/>
          <w:numId w:val="14"/>
        </w:numPr>
        <w:spacing w:after="0" w:line="360" w:lineRule="auto"/>
        <w:ind w:left="-142" w:firstLine="426"/>
        <w:jc w:val="both"/>
      </w:pPr>
      <w:r>
        <w:t>Reavaliação da categoria de risco e dano potencial associado; entre outros</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9" w:name="_Toc3992693"/>
      <w:r>
        <w:rPr>
          <w:rFonts w:eastAsia="Times New Roman" w:asciiTheme="minorHAnsi" w:hAnsiTheme="minorHAnsi" w:cstheme="minorHAnsi"/>
          <w:b/>
          <w:color w:val="auto"/>
        </w:rPr>
        <w:t>Volume VI</w:t>
      </w:r>
      <w:bookmarkEnd w:id="9"/>
    </w:p>
    <w:p>
      <w:pPr>
        <w:spacing w:after="0" w:line="360" w:lineRule="auto"/>
        <w:jc w:val="both"/>
        <w:rPr>
          <w:rFonts w:cstheme="minorHAnsi"/>
        </w:rPr>
      </w:pPr>
      <w:r>
        <w:rPr>
          <w:rFonts w:cstheme="minorHAnsi"/>
        </w:rPr>
        <w:t>O Art. 12 da Lei nº 12.334/10 determina que o Plano de Ação e Emergência - PAE estabelecerá as ações a serem executadas pelo empreendedor da barragem em caso de situação de emergência, bem como identificará os agentes a serem notificados dessa ocorrência.</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Composição do PAE</w:t>
      </w:r>
    </w:p>
    <w:p>
      <w:pPr>
        <w:spacing w:after="0" w:line="360" w:lineRule="auto"/>
        <w:jc w:val="both"/>
        <w:rPr>
          <w:rFonts w:cstheme="minorHAnsi"/>
        </w:rPr>
      </w:pPr>
      <w:r>
        <w:rPr>
          <w:rFonts w:cstheme="minorHAnsi"/>
        </w:rPr>
        <w:t>O nível de detalhamento do PAE varia de acordo com o dano potencial associado, com as características do empreendimento, devendo constar, no mínimo, os seguintes tópicos:</w:t>
      </w:r>
    </w:p>
    <w:p>
      <w:pPr>
        <w:pStyle w:val="19"/>
        <w:numPr>
          <w:ilvl w:val="0"/>
          <w:numId w:val="14"/>
        </w:numPr>
        <w:spacing w:after="0" w:line="360" w:lineRule="auto"/>
        <w:ind w:left="0" w:firstLine="284"/>
        <w:jc w:val="both"/>
      </w:pPr>
      <w:r>
        <w:t>Objetivo do Plano;</w:t>
      </w:r>
    </w:p>
    <w:p>
      <w:pPr>
        <w:pStyle w:val="19"/>
        <w:numPr>
          <w:ilvl w:val="0"/>
          <w:numId w:val="14"/>
        </w:numPr>
        <w:spacing w:after="0" w:line="360" w:lineRule="auto"/>
        <w:ind w:left="0" w:firstLine="284"/>
        <w:jc w:val="both"/>
      </w:pPr>
      <w:r>
        <w:t>Identificação dos acessos ao empreendimento;</w:t>
      </w:r>
    </w:p>
    <w:p>
      <w:pPr>
        <w:pStyle w:val="19"/>
        <w:numPr>
          <w:ilvl w:val="0"/>
          <w:numId w:val="14"/>
        </w:numPr>
        <w:spacing w:after="0" w:line="360" w:lineRule="auto"/>
        <w:ind w:left="0" w:firstLine="284"/>
        <w:jc w:val="both"/>
      </w:pPr>
      <w:r>
        <w:t>Descrição minuciosa sobre aspectos técnicos da construção da barragem, materiais utilizados, tipos de filtro, característica geométricas, e detalhamento de todas as estruturas pertencentes a ela, tomada d’água, vertedores de superfície e de fundo, condutos forçados, instrumentação, localização do empreendimento, etc.;</w:t>
      </w:r>
    </w:p>
    <w:p>
      <w:pPr>
        <w:pStyle w:val="19"/>
        <w:numPr>
          <w:ilvl w:val="0"/>
          <w:numId w:val="14"/>
        </w:numPr>
        <w:spacing w:after="0" w:line="360" w:lineRule="auto"/>
        <w:ind w:left="0" w:firstLine="284"/>
        <w:jc w:val="both"/>
      </w:pPr>
      <w:r>
        <w:t>Característica geológicas da barragem e fundação;</w:t>
      </w:r>
    </w:p>
    <w:p>
      <w:pPr>
        <w:pStyle w:val="19"/>
        <w:numPr>
          <w:ilvl w:val="0"/>
          <w:numId w:val="14"/>
        </w:numPr>
        <w:spacing w:after="0" w:line="360" w:lineRule="auto"/>
        <w:ind w:left="0" w:firstLine="284"/>
        <w:jc w:val="both"/>
        <w:rPr>
          <w:rFonts w:cstheme="minorHAnsi"/>
          <w:b/>
        </w:rPr>
      </w:pPr>
      <w:r>
        <w:t>Dados hidrológicos de importância como vazão de projeto, bacia hidrográfica, etc.;</w:t>
      </w:r>
    </w:p>
    <w:p>
      <w:pPr>
        <w:pStyle w:val="19"/>
        <w:numPr>
          <w:ilvl w:val="0"/>
          <w:numId w:val="14"/>
        </w:numPr>
        <w:spacing w:after="0" w:line="360" w:lineRule="auto"/>
        <w:ind w:left="0" w:firstLine="284"/>
        <w:jc w:val="both"/>
      </w:pPr>
      <w:r>
        <w:t>Principais características dos órgãos extravasores;</w:t>
      </w:r>
    </w:p>
    <w:p>
      <w:pPr>
        <w:pStyle w:val="19"/>
        <w:numPr>
          <w:ilvl w:val="0"/>
          <w:numId w:val="14"/>
        </w:numPr>
        <w:spacing w:after="0" w:line="360" w:lineRule="auto"/>
        <w:ind w:left="0" w:firstLine="284"/>
        <w:jc w:val="both"/>
      </w:pPr>
      <w:r>
        <w:t>Resumo da instrumentação de auscultação instalada nas estruturas bem como a situação em relação ao nível de segurança;</w:t>
      </w:r>
    </w:p>
    <w:p>
      <w:pPr>
        <w:pStyle w:val="19"/>
        <w:numPr>
          <w:ilvl w:val="0"/>
          <w:numId w:val="14"/>
        </w:numPr>
        <w:spacing w:after="0" w:line="360" w:lineRule="auto"/>
        <w:ind w:left="0" w:firstLine="284"/>
        <w:jc w:val="both"/>
      </w:pPr>
      <w:r>
        <w:t>Caracterização dos níveis de segurança em relação a operação hidráulica da barragem;</w:t>
      </w:r>
    </w:p>
    <w:p>
      <w:pPr>
        <w:pStyle w:val="19"/>
        <w:numPr>
          <w:ilvl w:val="0"/>
          <w:numId w:val="14"/>
        </w:numPr>
        <w:spacing w:after="0" w:line="360" w:lineRule="auto"/>
        <w:ind w:left="0" w:firstLine="284"/>
        <w:jc w:val="both"/>
        <w:rPr>
          <w:spacing w:val="2"/>
        </w:rPr>
      </w:pPr>
      <w:r>
        <w:t>Detecção, Avaliação e Classificação das Situações de Emergência</w:t>
      </w:r>
      <w:r>
        <w:rPr>
          <w:spacing w:val="2"/>
        </w:rPr>
        <w:t xml:space="preserve"> com base nas possíveis anormalidades que podem ocorrer nas instalações, contendo quadros de caracterização dos níveis de segurança, definição dos níveis de alerta para ocorrências excepcionais ou circunstâncias anômalas, e procedimentos de comunicação e de ação imediata de acordo com os níveis de alerta. A seguir, exemplo de quadro exemplificativo de descrição dos níveis de segurança com base nas possíveis anormalidades (Quadro 1).</w:t>
      </w:r>
    </w:p>
    <w:p>
      <w:pPr>
        <w:pStyle w:val="19"/>
        <w:widowControl w:val="0"/>
        <w:numPr>
          <w:ilvl w:val="0"/>
          <w:numId w:val="0"/>
        </w:numPr>
        <w:autoSpaceDE w:val="0"/>
        <w:autoSpaceDN w:val="0"/>
        <w:spacing w:before="0" w:after="0" w:line="360" w:lineRule="auto"/>
        <w:ind w:right="0" w:rightChars="0"/>
        <w:jc w:val="both"/>
        <w:rPr>
          <w:spacing w:val="2"/>
        </w:rPr>
      </w:pPr>
    </w:p>
    <w:p>
      <w:pPr>
        <w:pStyle w:val="19"/>
        <w:widowControl w:val="0"/>
        <w:numPr>
          <w:ilvl w:val="0"/>
          <w:numId w:val="0"/>
        </w:numPr>
        <w:autoSpaceDE w:val="0"/>
        <w:autoSpaceDN w:val="0"/>
        <w:spacing w:before="0" w:after="0" w:line="360" w:lineRule="auto"/>
        <w:ind w:right="0" w:rightChars="0"/>
        <w:jc w:val="both"/>
        <w:rPr>
          <w:spacing w:val="2"/>
        </w:rPr>
      </w:pPr>
    </w:p>
    <w:p>
      <w:pPr>
        <w:pStyle w:val="19"/>
        <w:widowControl w:val="0"/>
        <w:numPr>
          <w:ilvl w:val="0"/>
          <w:numId w:val="0"/>
        </w:numPr>
        <w:autoSpaceDE w:val="0"/>
        <w:autoSpaceDN w:val="0"/>
        <w:spacing w:before="0" w:after="0" w:line="360" w:lineRule="auto"/>
        <w:ind w:right="0" w:rightChars="0"/>
        <w:jc w:val="both"/>
        <w:rPr>
          <w:spacing w:val="2"/>
        </w:rPr>
      </w:pPr>
    </w:p>
    <w:p>
      <w:pPr>
        <w:pStyle w:val="19"/>
        <w:widowControl w:val="0"/>
        <w:numPr>
          <w:ilvl w:val="0"/>
          <w:numId w:val="0"/>
        </w:numPr>
        <w:autoSpaceDE w:val="0"/>
        <w:autoSpaceDN w:val="0"/>
        <w:spacing w:before="0" w:after="0" w:line="360" w:lineRule="auto"/>
        <w:ind w:right="0" w:rightChars="0"/>
        <w:jc w:val="both"/>
        <w:rPr>
          <w:spacing w:val="2"/>
        </w:rPr>
      </w:pPr>
    </w:p>
    <w:tbl>
      <w:tblPr>
        <w:tblStyle w:val="27"/>
        <w:tblpPr w:leftFromText="180" w:rightFromText="180" w:vertAnchor="text" w:horzAnchor="page" w:tblpX="991" w:tblpY="385"/>
        <w:tblOverlap w:val="never"/>
        <w:tblW w:w="99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9"/>
        <w:gridCol w:w="1892"/>
        <w:gridCol w:w="4570"/>
        <w:gridCol w:w="255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23" w:hRule="atLeast"/>
        </w:trPr>
        <w:tc>
          <w:tcPr>
            <w:tcW w:w="2801" w:type="dxa"/>
            <w:gridSpan w:val="2"/>
            <w:tcBorders>
              <w:top w:val="single" w:color="000000" w:sz="12" w:space="0"/>
              <w:left w:val="single" w:color="000000" w:sz="12" w:space="0"/>
              <w:bottom w:val="single" w:color="000000" w:sz="12" w:space="0"/>
              <w:right w:val="single" w:color="000000" w:sz="6" w:space="0"/>
            </w:tcBorders>
            <w:shd w:val="clear" w:color="auto" w:fill="CCCCCC"/>
            <w:vAlign w:val="center"/>
          </w:tcPr>
          <w:p>
            <w:pPr>
              <w:pStyle w:val="20"/>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Ocorrência excepcional</w:t>
            </w:r>
          </w:p>
        </w:tc>
        <w:tc>
          <w:tcPr>
            <w:tcW w:w="4570" w:type="dxa"/>
            <w:tcBorders>
              <w:top w:val="single" w:color="000000" w:sz="12" w:space="0"/>
              <w:left w:val="single" w:color="000000" w:sz="6" w:space="0"/>
              <w:bottom w:val="single" w:color="000000" w:sz="12" w:space="0"/>
              <w:right w:val="single" w:color="000000" w:sz="6" w:space="0"/>
            </w:tcBorders>
            <w:shd w:val="clear" w:color="auto" w:fill="CCCCCC"/>
            <w:vAlign w:val="center"/>
          </w:tcPr>
          <w:p>
            <w:pPr>
              <w:pStyle w:val="20"/>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Consequências</w:t>
            </w:r>
          </w:p>
        </w:tc>
        <w:tc>
          <w:tcPr>
            <w:tcW w:w="2559" w:type="dxa"/>
            <w:tcBorders>
              <w:top w:val="single" w:color="000000" w:sz="12" w:space="0"/>
              <w:left w:val="single" w:color="000000" w:sz="6" w:space="0"/>
              <w:bottom w:val="single" w:color="000000" w:sz="12" w:space="0"/>
              <w:right w:val="single" w:color="000000" w:sz="12" w:space="0"/>
            </w:tcBorders>
            <w:shd w:val="clear" w:color="auto" w:fill="CCCCCC"/>
            <w:vAlign w:val="center"/>
          </w:tcPr>
          <w:p>
            <w:pPr>
              <w:pStyle w:val="20"/>
              <w:ind w:firstLine="12"/>
              <w:jc w:val="center"/>
              <w:rPr>
                <w:rFonts w:asciiTheme="minorHAnsi" w:hAnsiTheme="minorHAnsi" w:cstheme="minorHAnsi"/>
                <w:b/>
                <w:sz w:val="20"/>
                <w:szCs w:val="20"/>
                <w:lang w:val="en-US" w:eastAsia="en-US"/>
              </w:rPr>
            </w:pPr>
            <w:r>
              <w:rPr>
                <w:rFonts w:asciiTheme="minorHAnsi" w:hAnsiTheme="minorHAnsi" w:cstheme="minorHAnsi"/>
                <w:b/>
                <w:w w:val="95"/>
                <w:sz w:val="20"/>
                <w:szCs w:val="20"/>
                <w:lang w:val="en-US" w:eastAsia="en-US"/>
              </w:rPr>
              <w:t xml:space="preserve">Nível de </w:t>
            </w:r>
            <w:r>
              <w:rPr>
                <w:rFonts w:asciiTheme="minorHAnsi" w:hAnsiTheme="minorHAnsi" w:cstheme="minorHAnsi"/>
                <w:b/>
                <w:w w:val="85"/>
                <w:sz w:val="20"/>
                <w:szCs w:val="20"/>
                <w:lang w:val="en-US" w:eastAsia="en-US"/>
              </w:rPr>
              <w:t xml:space="preserve">segurança / </w:t>
            </w:r>
            <w:r>
              <w:rPr>
                <w:rFonts w:asciiTheme="minorHAnsi" w:hAnsiTheme="minorHAnsi" w:cstheme="minorHAnsi"/>
                <w:b/>
                <w:w w:val="90"/>
                <w:sz w:val="20"/>
                <w:szCs w:val="20"/>
                <w:lang w:val="en-US" w:eastAsia="en-US"/>
              </w:rPr>
              <w:t xml:space="preserve">Consultar </w:t>
            </w:r>
            <w:r>
              <w:rPr>
                <w:rFonts w:asciiTheme="minorHAnsi" w:hAnsiTheme="minorHAnsi" w:cstheme="minorHAnsi"/>
                <w:b/>
                <w:w w:val="95"/>
                <w:sz w:val="20"/>
                <w:szCs w:val="20"/>
                <w:lang w:val="en-US" w:eastAsia="en-US"/>
              </w:rPr>
              <w:t>QUADRO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5" w:hRule="atLeast"/>
        </w:trPr>
        <w:tc>
          <w:tcPr>
            <w:tcW w:w="2801" w:type="dxa"/>
            <w:gridSpan w:val="2"/>
            <w:tcBorders>
              <w:top w:val="single" w:color="000000" w:sz="12" w:space="0"/>
              <w:left w:val="single" w:color="000000" w:sz="12" w:space="0"/>
              <w:bottom w:val="single" w:color="000000" w:sz="12" w:space="0"/>
              <w:right w:val="single" w:color="000000" w:sz="6" w:space="0"/>
            </w:tcBorders>
            <w:vAlign w:val="center"/>
          </w:tcPr>
          <w:p>
            <w:pPr>
              <w:pStyle w:val="20"/>
              <w:ind w:right="77" w:hanging="16"/>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Instrumentação</w:t>
            </w:r>
          </w:p>
        </w:tc>
        <w:tc>
          <w:tcPr>
            <w:tcW w:w="4570" w:type="dxa"/>
            <w:tcBorders>
              <w:top w:val="single" w:color="000000" w:sz="12" w:space="0"/>
              <w:left w:val="single" w:color="000000" w:sz="6" w:space="0"/>
              <w:bottom w:val="single" w:color="000000" w:sz="12"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37"/>
                <w:sz w:val="20"/>
                <w:szCs w:val="20"/>
                <w:lang w:val="en-US"/>
              </w:rPr>
            </w:pPr>
            <w:r>
              <w:rPr>
                <w:spacing w:val="2"/>
                <w:sz w:val="20"/>
                <w:szCs w:val="20"/>
                <w:lang w:val="en-US"/>
              </w:rPr>
              <w:t xml:space="preserve">Resultados </w:t>
            </w:r>
            <w:r>
              <w:rPr>
                <w:sz w:val="20"/>
                <w:szCs w:val="20"/>
                <w:lang w:val="en-US"/>
              </w:rPr>
              <w:t>da instrumentação ultrapassar a</w:t>
            </w:r>
            <w:r>
              <w:rPr>
                <w:spacing w:val="-41"/>
                <w:sz w:val="20"/>
                <w:szCs w:val="20"/>
                <w:lang w:val="en-US"/>
              </w:rPr>
              <w:t xml:space="preserve"> </w:t>
            </w:r>
            <w:r>
              <w:rPr>
                <w:spacing w:val="2"/>
                <w:sz w:val="20"/>
                <w:szCs w:val="20"/>
                <w:lang w:val="en-US"/>
              </w:rPr>
              <w:t xml:space="preserve">valores </w:t>
            </w:r>
            <w:r>
              <w:rPr>
                <w:sz w:val="20"/>
                <w:szCs w:val="20"/>
                <w:lang w:val="en-US"/>
              </w:rPr>
              <w:t>pré</w:t>
            </w:r>
            <w:r>
              <w:rPr>
                <w:spacing w:val="-46"/>
                <w:sz w:val="20"/>
                <w:szCs w:val="20"/>
                <w:lang w:val="en-US"/>
              </w:rPr>
              <w:t xml:space="preserve"> </w:t>
            </w:r>
            <w:r>
              <w:rPr>
                <w:sz w:val="20"/>
                <w:szCs w:val="20"/>
                <w:lang w:val="en-US"/>
              </w:rPr>
              <w:t>-</w:t>
            </w:r>
            <w:r>
              <w:rPr>
                <w:spacing w:val="2"/>
                <w:sz w:val="20"/>
                <w:szCs w:val="20"/>
                <w:lang w:val="en-US"/>
              </w:rPr>
              <w:t>estabelecidos</w:t>
            </w:r>
          </w:p>
        </w:tc>
        <w:tc>
          <w:tcPr>
            <w:tcW w:w="2559" w:type="dxa"/>
            <w:tcBorders>
              <w:top w:val="single" w:color="000000" w:sz="12" w:space="0"/>
              <w:left w:val="single" w:color="000000" w:sz="6" w:space="0"/>
              <w:bottom w:val="single" w:color="000000" w:sz="12" w:space="0"/>
              <w:right w:val="single" w:color="000000" w:sz="12" w:space="0"/>
            </w:tcBorders>
            <w:shd w:val="clear" w:color="auto" w:fill="FFFF00"/>
            <w:vAlign w:val="center"/>
          </w:tcPr>
          <w:p>
            <w:pPr>
              <w:pStyle w:val="20"/>
              <w:ind w:right="-11"/>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Atenção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283" w:hRule="atLeast"/>
        </w:trPr>
        <w:tc>
          <w:tcPr>
            <w:tcW w:w="909" w:type="dxa"/>
            <w:vMerge w:val="restart"/>
            <w:tcBorders>
              <w:top w:val="single" w:color="000000" w:sz="12" w:space="0"/>
              <w:left w:val="single" w:color="000000" w:sz="12" w:space="0"/>
              <w:bottom w:val="single" w:color="000000" w:sz="12" w:space="0"/>
              <w:right w:val="single" w:color="000000" w:sz="6" w:space="0"/>
            </w:tcBorders>
            <w:vAlign w:val="center"/>
          </w:tcPr>
          <w:p>
            <w:pPr>
              <w:pStyle w:val="20"/>
              <w:jc w:val="center"/>
              <w:rPr>
                <w:rFonts w:asciiTheme="minorHAnsi" w:hAnsiTheme="minorHAnsi" w:cstheme="minorHAnsi"/>
                <w:sz w:val="20"/>
                <w:szCs w:val="20"/>
                <w:lang w:val="en-US" w:eastAsia="en-US"/>
              </w:rPr>
            </w:pPr>
          </w:p>
        </w:tc>
        <w:tc>
          <w:tcPr>
            <w:tcW w:w="1892" w:type="dxa"/>
            <w:tcBorders>
              <w:top w:val="single" w:color="000000" w:sz="12" w:space="0"/>
              <w:left w:val="single" w:color="000000" w:sz="6" w:space="0"/>
              <w:bottom w:val="single" w:color="000000" w:sz="6" w:space="0"/>
              <w:right w:val="single" w:color="000000" w:sz="6" w:space="0"/>
            </w:tcBorders>
            <w:vAlign w:val="center"/>
          </w:tcPr>
          <w:p>
            <w:pPr>
              <w:pStyle w:val="20"/>
              <w:jc w:val="center"/>
              <w:rPr>
                <w:rFonts w:asciiTheme="minorHAnsi" w:hAnsiTheme="minorHAnsi" w:cstheme="minorHAnsi"/>
                <w:sz w:val="20"/>
                <w:szCs w:val="20"/>
                <w:lang w:val="en-US" w:eastAsia="en-US"/>
              </w:rPr>
            </w:pPr>
          </w:p>
        </w:tc>
        <w:tc>
          <w:tcPr>
            <w:tcW w:w="4570" w:type="dxa"/>
            <w:tcBorders>
              <w:top w:val="single" w:color="000000" w:sz="12"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ind w:left="113"/>
              <w:rPr>
                <w:spacing w:val="2"/>
                <w:sz w:val="20"/>
                <w:szCs w:val="20"/>
                <w:lang w:val="en-US"/>
              </w:rPr>
            </w:pPr>
            <w:r>
              <w:rPr>
                <w:spacing w:val="2"/>
                <w:sz w:val="20"/>
                <w:szCs w:val="20"/>
                <w:lang w:val="en-US"/>
              </w:rPr>
              <w:t>Presença de trincas transversais e longitudinais profundas:</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Que não se estabilizam;</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Passantes ou não de montante para jusante;</w:t>
            </w:r>
          </w:p>
          <w:p>
            <w:pPr>
              <w:pStyle w:val="19"/>
              <w:widowControl w:val="0"/>
              <w:numPr>
                <w:ilvl w:val="0"/>
                <w:numId w:val="14"/>
              </w:numPr>
              <w:autoSpaceDE w:val="0"/>
              <w:autoSpaceDN w:val="0"/>
              <w:spacing w:after="0" w:line="240" w:lineRule="auto"/>
              <w:ind w:left="458"/>
              <w:rPr>
                <w:rFonts w:cstheme="minorHAnsi"/>
                <w:sz w:val="20"/>
                <w:szCs w:val="20"/>
                <w:lang w:val="en-US"/>
              </w:rPr>
            </w:pPr>
            <w:r>
              <w:rPr>
                <w:spacing w:val="2"/>
                <w:sz w:val="20"/>
                <w:szCs w:val="20"/>
                <w:lang w:val="en-US"/>
              </w:rPr>
              <w:t>Com percolação de água ou não.</w:t>
            </w:r>
          </w:p>
        </w:tc>
        <w:tc>
          <w:tcPr>
            <w:tcW w:w="2559" w:type="dxa"/>
            <w:vMerge w:val="restart"/>
            <w:tcBorders>
              <w:top w:val="single" w:color="000000" w:sz="12" w:space="0"/>
              <w:left w:val="single" w:color="000000" w:sz="6" w:space="0"/>
              <w:bottom w:val="single" w:color="000000" w:sz="6" w:space="0"/>
              <w:right w:val="single" w:color="000000" w:sz="12" w:space="0"/>
            </w:tcBorders>
            <w:shd w:val="clear" w:color="auto" w:fill="FFFF00"/>
            <w:vAlign w:val="center"/>
          </w:tcPr>
          <w:p>
            <w:pPr>
              <w:pStyle w:val="20"/>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Atenção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32"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1892" w:type="dxa"/>
            <w:tcBorders>
              <w:top w:val="single" w:color="000000" w:sz="6" w:space="0"/>
              <w:left w:val="single" w:color="000000" w:sz="6" w:space="0"/>
              <w:bottom w:val="single" w:color="000000" w:sz="6" w:space="0"/>
              <w:right w:val="single" w:color="000000" w:sz="6" w:space="0"/>
            </w:tcBorders>
            <w:vAlign w:val="center"/>
          </w:tcPr>
          <w:p>
            <w:pPr>
              <w:pStyle w:val="20"/>
              <w:ind w:right="77" w:hanging="16"/>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Surgências (Áreas encharcadas ou água surgindo)</w:t>
            </w:r>
          </w:p>
        </w:tc>
        <w:tc>
          <w:tcPr>
            <w:tcW w:w="4570" w:type="dxa"/>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ind w:left="113"/>
              <w:rPr>
                <w:spacing w:val="2"/>
                <w:sz w:val="20"/>
                <w:szCs w:val="20"/>
                <w:lang w:val="en-US"/>
              </w:rPr>
            </w:pPr>
            <w:r>
              <w:rPr>
                <w:spacing w:val="2"/>
                <w:sz w:val="20"/>
                <w:szCs w:val="20"/>
                <w:lang w:val="en-US"/>
              </w:rPr>
              <w:t>Surgência de água próxima à barragem, nos taludes ou ombreiras:</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Não documentada e/ou não monitorada;</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Com carreamento de materiais de origem desconhecida;</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Aumento das infiltrações com o tempo;</w:t>
            </w:r>
          </w:p>
          <w:p>
            <w:pPr>
              <w:pStyle w:val="19"/>
              <w:widowControl w:val="0"/>
              <w:numPr>
                <w:ilvl w:val="0"/>
                <w:numId w:val="14"/>
              </w:numPr>
              <w:autoSpaceDE w:val="0"/>
              <w:autoSpaceDN w:val="0"/>
              <w:spacing w:after="0" w:line="240" w:lineRule="auto"/>
              <w:ind w:left="458"/>
              <w:rPr>
                <w:rFonts w:cstheme="minorHAnsi"/>
                <w:sz w:val="20"/>
                <w:szCs w:val="20"/>
                <w:lang w:val="en-US"/>
              </w:rPr>
            </w:pPr>
            <w:r>
              <w:rPr>
                <w:spacing w:val="2"/>
                <w:sz w:val="20"/>
                <w:szCs w:val="20"/>
                <w:lang w:val="en-US"/>
              </w:rPr>
              <w:t>Água saindo com pressão.</w:t>
            </w:r>
          </w:p>
        </w:tc>
        <w:tc>
          <w:tcPr>
            <w:tcW w:w="2559" w:type="dxa"/>
            <w:vMerge w:val="continue"/>
            <w:tcBorders>
              <w:top w:val="single" w:color="000000" w:sz="12" w:space="0"/>
              <w:left w:val="single" w:color="000000" w:sz="6" w:space="0"/>
              <w:bottom w:val="single" w:color="000000" w:sz="6" w:space="0"/>
              <w:right w:val="single" w:color="000000" w:sz="12"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5"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1892" w:type="dxa"/>
            <w:vMerge w:val="restart"/>
            <w:tcBorders>
              <w:top w:val="single" w:color="000000" w:sz="6" w:space="0"/>
              <w:left w:val="single" w:color="000000" w:sz="6" w:space="0"/>
              <w:bottom w:val="single" w:color="000000" w:sz="12" w:space="0"/>
              <w:right w:val="single" w:color="000000" w:sz="6" w:space="0"/>
            </w:tcBorders>
            <w:vAlign w:val="center"/>
          </w:tcPr>
          <w:p>
            <w:pPr>
              <w:pStyle w:val="20"/>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Vazamentos</w:t>
            </w: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Vazamentos não documentados e considerados controláveis</w:t>
            </w:r>
          </w:p>
        </w:tc>
        <w:tc>
          <w:tcPr>
            <w:tcW w:w="2559" w:type="dxa"/>
            <w:vMerge w:val="continue"/>
            <w:tcBorders>
              <w:top w:val="single" w:color="000000" w:sz="12" w:space="0"/>
              <w:left w:val="single" w:color="000000" w:sz="6" w:space="0"/>
              <w:bottom w:val="single" w:color="000000" w:sz="6" w:space="0"/>
              <w:right w:val="single" w:color="000000" w:sz="12"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42"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1892" w:type="dxa"/>
            <w:vMerge w:val="continue"/>
            <w:tcBorders>
              <w:top w:val="single" w:color="000000" w:sz="6" w:space="0"/>
              <w:left w:val="single" w:color="000000" w:sz="6"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4570" w:type="dxa"/>
            <w:tcBorders>
              <w:top w:val="single" w:color="000000" w:sz="6" w:space="0"/>
              <w:left w:val="single" w:color="000000" w:sz="6" w:space="0"/>
              <w:bottom w:val="single" w:color="000000" w:sz="12"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Vazamentos incontroláveis com erosão interna em andamento</w:t>
            </w:r>
          </w:p>
        </w:tc>
        <w:tc>
          <w:tcPr>
            <w:tcW w:w="2559" w:type="dxa"/>
            <w:tcBorders>
              <w:top w:val="single" w:color="000000" w:sz="6" w:space="0"/>
              <w:left w:val="single" w:color="000000" w:sz="6" w:space="0"/>
              <w:bottom w:val="single" w:color="000000" w:sz="12" w:space="0"/>
              <w:right w:val="single" w:color="000000" w:sz="12" w:space="0"/>
            </w:tcBorders>
            <w:shd w:val="clear" w:color="auto" w:fill="F8933E"/>
            <w:vAlign w:val="center"/>
          </w:tcPr>
          <w:p>
            <w:pPr>
              <w:pStyle w:val="20"/>
              <w:ind w:right="-11"/>
              <w:jc w:val="center"/>
              <w:rPr>
                <w:rFonts w:asciiTheme="minorHAnsi" w:hAnsiTheme="minorHAnsi" w:cstheme="minorHAnsi"/>
                <w:b/>
                <w:sz w:val="20"/>
                <w:szCs w:val="20"/>
                <w:lang w:val="en-US" w:eastAsia="en-US"/>
              </w:rPr>
            </w:pPr>
            <w:r>
              <w:rPr>
                <w:rFonts w:asciiTheme="minorHAnsi" w:hAnsiTheme="minorHAnsi" w:cstheme="minorHAnsi"/>
                <w:b/>
                <w:w w:val="95"/>
                <w:sz w:val="20"/>
                <w:szCs w:val="20"/>
                <w:lang w:val="en-US" w:eastAsia="en-US"/>
              </w:rPr>
              <w:t>Alerta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3" w:hRule="atLeast"/>
        </w:trPr>
        <w:tc>
          <w:tcPr>
            <w:tcW w:w="909" w:type="dxa"/>
            <w:vMerge w:val="restart"/>
            <w:tcBorders>
              <w:top w:val="single" w:color="000000" w:sz="12" w:space="0"/>
              <w:left w:val="single" w:color="000000" w:sz="12" w:space="0"/>
              <w:bottom w:val="single" w:color="000000" w:sz="12" w:space="0"/>
              <w:right w:val="single" w:color="000000" w:sz="6" w:space="0"/>
            </w:tcBorders>
            <w:textDirection w:val="btLr"/>
            <w:vAlign w:val="center"/>
          </w:tcPr>
          <w:p>
            <w:pPr>
              <w:pStyle w:val="20"/>
              <w:ind w:left="1498" w:right="1505"/>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Cheias</w:t>
            </w:r>
          </w:p>
        </w:tc>
        <w:tc>
          <w:tcPr>
            <w:tcW w:w="1892" w:type="dxa"/>
            <w:tcBorders>
              <w:top w:val="single" w:color="000000" w:sz="12" w:space="0"/>
              <w:left w:val="single" w:color="000000" w:sz="6" w:space="0"/>
              <w:bottom w:val="single" w:color="000000" w:sz="6" w:space="0"/>
              <w:right w:val="single" w:color="000000" w:sz="6" w:space="0"/>
            </w:tcBorders>
            <w:vAlign w:val="center"/>
          </w:tcPr>
          <w:p>
            <w:pPr>
              <w:pStyle w:val="20"/>
              <w:ind w:right="-47"/>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Nível</w:t>
            </w:r>
          </w:p>
        </w:tc>
        <w:tc>
          <w:tcPr>
            <w:tcW w:w="4570" w:type="dxa"/>
            <w:tcBorders>
              <w:top w:val="single" w:color="000000" w:sz="12"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Nível d’água acima do MÁXIMO MAXIMORUM</w:t>
            </w:r>
          </w:p>
        </w:tc>
        <w:tc>
          <w:tcPr>
            <w:tcW w:w="2559" w:type="dxa"/>
            <w:vMerge w:val="restart"/>
            <w:tcBorders>
              <w:top w:val="single" w:color="000000" w:sz="12" w:space="0"/>
              <w:left w:val="single" w:color="000000" w:sz="6" w:space="0"/>
              <w:bottom w:val="single" w:color="000000" w:sz="6" w:space="0"/>
              <w:right w:val="single" w:color="000000" w:sz="12" w:space="0"/>
            </w:tcBorders>
            <w:shd w:val="clear" w:color="auto" w:fill="FFFF00"/>
            <w:vAlign w:val="center"/>
          </w:tcPr>
          <w:p>
            <w:pPr>
              <w:pStyle w:val="20"/>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Atenção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50"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tcBorders>
              <w:top w:val="single" w:color="000000" w:sz="6" w:space="0"/>
              <w:left w:val="single" w:color="000000" w:sz="6" w:space="0"/>
              <w:bottom w:val="single" w:color="000000" w:sz="6" w:space="0"/>
              <w:right w:val="single" w:color="000000" w:sz="6" w:space="0"/>
            </w:tcBorders>
            <w:vAlign w:val="center"/>
          </w:tcPr>
          <w:p>
            <w:pPr>
              <w:pStyle w:val="20"/>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Equipamentos</w:t>
            </w: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Extravasores inoperantes no período chuvoso</w:t>
            </w:r>
          </w:p>
        </w:tc>
        <w:tc>
          <w:tcPr>
            <w:tcW w:w="2559" w:type="dxa"/>
            <w:vMerge w:val="continue"/>
            <w:tcBorders>
              <w:top w:val="single" w:color="000000" w:sz="12" w:space="0"/>
              <w:left w:val="single" w:color="000000" w:sz="6" w:space="0"/>
              <w:bottom w:val="single" w:color="000000" w:sz="6" w:space="0"/>
              <w:right w:val="single" w:color="000000" w:sz="12"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735"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vMerge w:val="restart"/>
            <w:tcBorders>
              <w:top w:val="single" w:color="000000" w:sz="6" w:space="0"/>
              <w:left w:val="single" w:color="000000" w:sz="6" w:space="0"/>
              <w:bottom w:val="single" w:color="000000" w:sz="6" w:space="0"/>
              <w:right w:val="single" w:color="000000" w:sz="6" w:space="0"/>
            </w:tcBorders>
            <w:vAlign w:val="center"/>
          </w:tcPr>
          <w:p>
            <w:pPr>
              <w:pStyle w:val="20"/>
              <w:ind w:left="80"/>
              <w:jc w:val="center"/>
              <w:rPr>
                <w:rFonts w:asciiTheme="minorHAnsi" w:hAnsiTheme="minorHAnsi" w:cstheme="minorHAnsi"/>
                <w:sz w:val="20"/>
                <w:szCs w:val="20"/>
                <w:lang w:val="en-US" w:eastAsia="en-US"/>
              </w:rPr>
            </w:pPr>
            <w:r>
              <w:rPr>
                <w:rFonts w:asciiTheme="minorHAnsi" w:hAnsiTheme="minorHAnsi" w:cstheme="minorHAnsi"/>
                <w:w w:val="105"/>
                <w:sz w:val="20"/>
                <w:szCs w:val="20"/>
                <w:lang w:val="en-US" w:eastAsia="en-US"/>
              </w:rPr>
              <w:t>Galgamento da barragem iniciado</w:t>
            </w: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Possibilidade de rebaixamento do nível d’água através da abertura dos extravasores</w:t>
            </w:r>
          </w:p>
        </w:tc>
        <w:tc>
          <w:tcPr>
            <w:tcW w:w="2559" w:type="dxa"/>
            <w:vMerge w:val="continue"/>
            <w:tcBorders>
              <w:top w:val="single" w:color="000000" w:sz="12" w:space="0"/>
              <w:left w:val="single" w:color="000000" w:sz="6" w:space="0"/>
              <w:bottom w:val="single" w:color="000000" w:sz="6" w:space="0"/>
              <w:right w:val="single" w:color="000000" w:sz="12"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95"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Galgamento em andamento com extravasores abertos</w:t>
            </w:r>
          </w:p>
        </w:tc>
        <w:tc>
          <w:tcPr>
            <w:tcW w:w="2559" w:type="dxa"/>
            <w:tcBorders>
              <w:top w:val="single" w:color="000000" w:sz="6" w:space="0"/>
              <w:left w:val="single" w:color="000000" w:sz="6" w:space="0"/>
              <w:bottom w:val="single" w:color="000000" w:sz="12" w:space="0"/>
              <w:right w:val="single" w:color="000000" w:sz="12" w:space="0"/>
            </w:tcBorders>
            <w:shd w:val="clear" w:color="auto" w:fill="F8933E"/>
            <w:vAlign w:val="center"/>
          </w:tcPr>
          <w:p>
            <w:pPr>
              <w:pStyle w:val="20"/>
              <w:ind w:right="-11"/>
              <w:jc w:val="center"/>
              <w:rPr>
                <w:rFonts w:asciiTheme="minorHAnsi" w:hAnsiTheme="minorHAnsi" w:cstheme="minorHAnsi"/>
                <w:b/>
                <w:sz w:val="20"/>
                <w:szCs w:val="20"/>
                <w:lang w:val="en-US" w:eastAsia="en-US"/>
              </w:rPr>
            </w:pPr>
            <w:r>
              <w:rPr>
                <w:rFonts w:asciiTheme="minorHAnsi" w:hAnsiTheme="minorHAnsi" w:cstheme="minorHAnsi"/>
                <w:b/>
                <w:w w:val="95"/>
                <w:sz w:val="20"/>
                <w:szCs w:val="20"/>
                <w:lang w:val="en-US" w:eastAsia="en-US"/>
              </w:rPr>
              <w:t>Alerta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5"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vMerge w:val="continue"/>
            <w:tcBorders>
              <w:top w:val="single" w:color="000000" w:sz="6" w:space="0"/>
              <w:left w:val="single" w:color="000000" w:sz="6" w:space="0"/>
              <w:bottom w:val="single" w:color="000000" w:sz="6"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Impossibilidade de aviso</w:t>
            </w:r>
          </w:p>
        </w:tc>
        <w:tc>
          <w:tcPr>
            <w:tcW w:w="2559" w:type="dxa"/>
            <w:vMerge w:val="restart"/>
            <w:tcBorders>
              <w:top w:val="single" w:color="000000" w:sz="12" w:space="0"/>
              <w:left w:val="single" w:color="000000" w:sz="6" w:space="0"/>
              <w:bottom w:val="single" w:color="000000" w:sz="6" w:space="0"/>
              <w:right w:val="single" w:color="000000" w:sz="12" w:space="0"/>
            </w:tcBorders>
            <w:shd w:val="clear" w:color="auto" w:fill="FFFF00"/>
            <w:vAlign w:val="center"/>
          </w:tcPr>
          <w:p>
            <w:pPr>
              <w:pStyle w:val="20"/>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Atenção</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5"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vMerge w:val="restart"/>
            <w:tcBorders>
              <w:top w:val="single" w:color="000000" w:sz="6" w:space="0"/>
              <w:left w:val="single" w:color="000000" w:sz="6" w:space="0"/>
              <w:bottom w:val="single" w:color="000000" w:sz="12" w:space="0"/>
              <w:right w:val="single" w:color="000000" w:sz="6" w:space="0"/>
            </w:tcBorders>
            <w:vAlign w:val="center"/>
          </w:tcPr>
          <w:p>
            <w:pPr>
              <w:pStyle w:val="20"/>
              <w:jc w:val="center"/>
              <w:rPr>
                <w:rFonts w:asciiTheme="minorHAnsi" w:hAnsiTheme="minorHAnsi" w:cstheme="minorHAnsi"/>
                <w:sz w:val="20"/>
                <w:szCs w:val="20"/>
                <w:lang w:val="en-US" w:eastAsia="en-US"/>
              </w:rPr>
            </w:pPr>
            <w:r>
              <w:rPr>
                <w:rFonts w:asciiTheme="minorHAnsi" w:hAnsiTheme="minorHAnsi" w:cstheme="minorHAnsi"/>
                <w:sz w:val="20"/>
                <w:szCs w:val="20"/>
                <w:lang w:val="en-US" w:eastAsia="en-US"/>
              </w:rPr>
              <w:t>Período chuvoso</w:t>
            </w:r>
          </w:p>
        </w:tc>
        <w:tc>
          <w:tcPr>
            <w:tcW w:w="4570" w:type="dxa"/>
            <w:tcBorders>
              <w:top w:val="single" w:color="000000" w:sz="6" w:space="0"/>
              <w:left w:val="single" w:color="000000" w:sz="6" w:space="0"/>
              <w:bottom w:val="single" w:color="000000" w:sz="6"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Impossibilidade de notificação</w:t>
            </w:r>
          </w:p>
        </w:tc>
        <w:tc>
          <w:tcPr>
            <w:tcW w:w="2559" w:type="dxa"/>
            <w:vMerge w:val="continue"/>
            <w:tcBorders>
              <w:top w:val="single" w:color="000000" w:sz="12" w:space="0"/>
              <w:left w:val="single" w:color="000000" w:sz="6" w:space="0"/>
              <w:bottom w:val="single" w:color="000000" w:sz="6" w:space="0"/>
              <w:right w:val="single" w:color="000000" w:sz="12"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17" w:hRule="atLeast"/>
        </w:trPr>
        <w:tc>
          <w:tcPr>
            <w:tcW w:w="909" w:type="dxa"/>
            <w:vMerge w:val="continue"/>
            <w:tcBorders>
              <w:top w:val="single" w:color="000000" w:sz="12" w:space="0"/>
              <w:left w:val="single" w:color="000000" w:sz="12"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b/>
                <w:sz w:val="20"/>
                <w:szCs w:val="20"/>
                <w:lang w:val="en-US" w:bidi="pt-BR"/>
              </w:rPr>
            </w:pPr>
          </w:p>
        </w:tc>
        <w:tc>
          <w:tcPr>
            <w:tcW w:w="1892" w:type="dxa"/>
            <w:vMerge w:val="continue"/>
            <w:tcBorders>
              <w:top w:val="single" w:color="000000" w:sz="6" w:space="0"/>
              <w:left w:val="single" w:color="000000" w:sz="6" w:space="0"/>
              <w:bottom w:val="single" w:color="000000" w:sz="12" w:space="0"/>
              <w:right w:val="single" w:color="000000" w:sz="6" w:space="0"/>
            </w:tcBorders>
            <w:vAlign w:val="center"/>
          </w:tcPr>
          <w:p>
            <w:pPr>
              <w:widowControl w:val="0"/>
              <w:autoSpaceDE w:val="0"/>
              <w:autoSpaceDN w:val="0"/>
              <w:spacing w:after="0" w:line="240" w:lineRule="auto"/>
              <w:jc w:val="center"/>
              <w:rPr>
                <w:rFonts w:eastAsia="Verdana" w:cstheme="minorHAnsi"/>
                <w:sz w:val="20"/>
                <w:szCs w:val="20"/>
                <w:lang w:val="en-US" w:bidi="pt-BR"/>
              </w:rPr>
            </w:pPr>
          </w:p>
        </w:tc>
        <w:tc>
          <w:tcPr>
            <w:tcW w:w="4570" w:type="dxa"/>
            <w:tcBorders>
              <w:top w:val="single" w:color="000000" w:sz="6" w:space="0"/>
              <w:left w:val="single" w:color="000000" w:sz="6" w:space="0"/>
              <w:bottom w:val="single" w:color="000000" w:sz="12"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Impossibilidade de aviso</w:t>
            </w:r>
          </w:p>
        </w:tc>
        <w:tc>
          <w:tcPr>
            <w:tcW w:w="2559" w:type="dxa"/>
            <w:tcBorders>
              <w:top w:val="single" w:color="000000" w:sz="6" w:space="0"/>
              <w:left w:val="single" w:color="000000" w:sz="6" w:space="0"/>
              <w:bottom w:val="single" w:color="000000" w:sz="12" w:space="0"/>
              <w:right w:val="single" w:color="000000" w:sz="12" w:space="0"/>
            </w:tcBorders>
            <w:shd w:val="clear" w:color="auto" w:fill="F8933E"/>
            <w:vAlign w:val="center"/>
          </w:tcPr>
          <w:p>
            <w:pPr>
              <w:pStyle w:val="20"/>
              <w:ind w:left="8" w:right="-11"/>
              <w:jc w:val="center"/>
              <w:rPr>
                <w:rFonts w:asciiTheme="minorHAnsi" w:hAnsiTheme="minorHAnsi" w:cstheme="minorHAnsi"/>
                <w:b/>
                <w:sz w:val="20"/>
                <w:szCs w:val="20"/>
                <w:lang w:val="en-US" w:eastAsia="en-US"/>
              </w:rPr>
            </w:pPr>
            <w:r>
              <w:rPr>
                <w:rFonts w:asciiTheme="minorHAnsi" w:hAnsiTheme="minorHAnsi" w:cstheme="minorHAnsi"/>
                <w:b/>
                <w:w w:val="95"/>
                <w:sz w:val="20"/>
                <w:szCs w:val="20"/>
                <w:lang w:val="en-US" w:eastAsia="en-US"/>
              </w:rPr>
              <w:t>Alerta</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114" w:hRule="atLeast"/>
        </w:trPr>
        <w:tc>
          <w:tcPr>
            <w:tcW w:w="2801" w:type="dxa"/>
            <w:gridSpan w:val="2"/>
            <w:tcBorders>
              <w:top w:val="single" w:color="000000" w:sz="12" w:space="0"/>
              <w:left w:val="single" w:color="000000" w:sz="12" w:space="0"/>
              <w:bottom w:val="single" w:color="000000" w:sz="12" w:space="0"/>
              <w:right w:val="single" w:color="000000" w:sz="6" w:space="0"/>
            </w:tcBorders>
          </w:tcPr>
          <w:p>
            <w:pPr>
              <w:pStyle w:val="20"/>
              <w:rPr>
                <w:rFonts w:asciiTheme="minorHAnsi" w:hAnsiTheme="minorHAnsi" w:cstheme="minorHAnsi"/>
                <w:sz w:val="20"/>
                <w:szCs w:val="20"/>
                <w:lang w:val="en-US" w:eastAsia="en-US"/>
              </w:rPr>
            </w:pPr>
          </w:p>
          <w:p>
            <w:pPr>
              <w:pStyle w:val="20"/>
              <w:rPr>
                <w:rFonts w:asciiTheme="minorHAnsi" w:hAnsiTheme="minorHAnsi" w:cstheme="minorHAnsi"/>
                <w:sz w:val="20"/>
                <w:szCs w:val="20"/>
                <w:lang w:val="en-US" w:eastAsia="en-US"/>
              </w:rPr>
            </w:pPr>
          </w:p>
          <w:p>
            <w:pPr>
              <w:pStyle w:val="20"/>
              <w:ind w:left="571"/>
              <w:rPr>
                <w:rFonts w:asciiTheme="minorHAnsi" w:hAnsiTheme="minorHAnsi" w:cstheme="minorHAnsi"/>
                <w:sz w:val="20"/>
                <w:szCs w:val="20"/>
                <w:lang w:val="en-US" w:eastAsia="en-US"/>
              </w:rPr>
            </w:pPr>
            <w:r>
              <w:rPr>
                <w:rFonts w:asciiTheme="minorHAnsi" w:hAnsiTheme="minorHAnsi" w:cstheme="minorHAnsi"/>
                <w:sz w:val="20"/>
                <w:szCs w:val="20"/>
                <w:lang w:val="en-US" w:eastAsia="en-US"/>
              </w:rPr>
              <w:t>Ruptura da Barragem</w:t>
            </w:r>
          </w:p>
        </w:tc>
        <w:tc>
          <w:tcPr>
            <w:tcW w:w="4570" w:type="dxa"/>
            <w:tcBorders>
              <w:top w:val="single" w:color="000000" w:sz="12" w:space="0"/>
              <w:left w:val="single" w:color="000000" w:sz="6" w:space="0"/>
              <w:bottom w:val="single" w:color="000000" w:sz="12" w:space="0"/>
              <w:right w:val="single" w:color="000000" w:sz="6" w:space="0"/>
            </w:tcBorders>
            <w:vAlign w:val="center"/>
          </w:tcPr>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Tombamento da barragem</w:t>
            </w:r>
          </w:p>
          <w:p>
            <w:pPr>
              <w:pStyle w:val="19"/>
              <w:widowControl w:val="0"/>
              <w:numPr>
                <w:ilvl w:val="0"/>
                <w:numId w:val="14"/>
              </w:numPr>
              <w:autoSpaceDE w:val="0"/>
              <w:autoSpaceDN w:val="0"/>
              <w:spacing w:after="0" w:line="240" w:lineRule="auto"/>
              <w:ind w:left="458"/>
              <w:rPr>
                <w:spacing w:val="2"/>
                <w:sz w:val="20"/>
                <w:szCs w:val="20"/>
                <w:lang w:val="en-US"/>
              </w:rPr>
            </w:pPr>
            <w:r>
              <w:rPr>
                <w:spacing w:val="2"/>
                <w:sz w:val="20"/>
                <w:szCs w:val="20"/>
                <w:lang w:val="en-US"/>
              </w:rPr>
              <w:t>Abertura de brecha na estrutura com descarga incontrolável de água</w:t>
            </w:r>
          </w:p>
          <w:p>
            <w:pPr>
              <w:pStyle w:val="19"/>
              <w:widowControl w:val="0"/>
              <w:numPr>
                <w:ilvl w:val="0"/>
                <w:numId w:val="14"/>
              </w:numPr>
              <w:autoSpaceDE w:val="0"/>
              <w:autoSpaceDN w:val="0"/>
              <w:spacing w:after="0" w:line="240" w:lineRule="auto"/>
              <w:ind w:left="458"/>
              <w:rPr>
                <w:rFonts w:cstheme="minorHAnsi"/>
                <w:sz w:val="20"/>
                <w:szCs w:val="20"/>
                <w:lang w:val="en-US"/>
              </w:rPr>
            </w:pPr>
            <w:r>
              <w:rPr>
                <w:spacing w:val="2"/>
                <w:sz w:val="20"/>
                <w:szCs w:val="20"/>
                <w:lang w:val="en-US"/>
              </w:rPr>
              <w:t>Colapso completo da estrutura</w:t>
            </w:r>
          </w:p>
        </w:tc>
        <w:tc>
          <w:tcPr>
            <w:tcW w:w="2559" w:type="dxa"/>
            <w:tcBorders>
              <w:top w:val="single" w:color="000000" w:sz="12" w:space="0"/>
              <w:left w:val="single" w:color="000000" w:sz="6" w:space="0"/>
              <w:bottom w:val="single" w:color="000000" w:sz="12" w:space="0"/>
              <w:right w:val="single" w:color="000000" w:sz="12" w:space="0"/>
            </w:tcBorders>
            <w:shd w:val="clear" w:color="auto" w:fill="FF0000"/>
          </w:tcPr>
          <w:p>
            <w:pPr>
              <w:pStyle w:val="20"/>
              <w:rPr>
                <w:rFonts w:asciiTheme="minorHAnsi" w:hAnsiTheme="minorHAnsi" w:cstheme="minorHAnsi"/>
                <w:sz w:val="20"/>
                <w:szCs w:val="20"/>
                <w:lang w:val="en-US" w:eastAsia="en-US"/>
              </w:rPr>
            </w:pPr>
          </w:p>
          <w:p>
            <w:pPr>
              <w:pStyle w:val="20"/>
              <w:spacing w:before="3"/>
              <w:rPr>
                <w:rFonts w:asciiTheme="minorHAnsi" w:hAnsiTheme="minorHAnsi" w:cstheme="minorHAnsi"/>
                <w:sz w:val="20"/>
                <w:szCs w:val="20"/>
                <w:lang w:val="en-US" w:eastAsia="en-US"/>
              </w:rPr>
            </w:pPr>
          </w:p>
          <w:p>
            <w:pPr>
              <w:pStyle w:val="20"/>
              <w:spacing w:before="1"/>
              <w:ind w:left="204" w:right="165"/>
              <w:jc w:val="center"/>
              <w:rPr>
                <w:rFonts w:asciiTheme="minorHAnsi" w:hAnsiTheme="minorHAnsi" w:cstheme="minorHAnsi"/>
                <w:b/>
                <w:sz w:val="20"/>
                <w:szCs w:val="20"/>
                <w:lang w:val="en-US" w:eastAsia="en-US"/>
              </w:rPr>
            </w:pPr>
            <w:r>
              <w:rPr>
                <w:rFonts w:asciiTheme="minorHAnsi" w:hAnsiTheme="minorHAnsi" w:cstheme="minorHAnsi"/>
                <w:b/>
                <w:sz w:val="20"/>
                <w:szCs w:val="20"/>
                <w:lang w:val="en-US" w:eastAsia="en-US"/>
              </w:rPr>
              <w:t>Emergência</w:t>
            </w:r>
          </w:p>
        </w:tc>
      </w:tr>
    </w:tbl>
    <w:p>
      <w:pPr>
        <w:spacing w:after="0" w:line="360" w:lineRule="auto"/>
        <w:jc w:val="both"/>
        <w:rPr>
          <w:spacing w:val="2"/>
          <w:sz w:val="20"/>
          <w:szCs w:val="20"/>
        </w:rPr>
      </w:pPr>
    </w:p>
    <w:p>
      <w:pPr>
        <w:spacing w:after="0" w:line="360" w:lineRule="auto"/>
        <w:jc w:val="both"/>
        <w:rPr>
          <w:spacing w:val="2"/>
          <w:sz w:val="20"/>
          <w:szCs w:val="20"/>
        </w:rPr>
      </w:pPr>
      <w:r>
        <w:rPr>
          <w:spacing w:val="2"/>
          <w:sz w:val="20"/>
          <w:szCs w:val="20"/>
        </w:rPr>
        <w:t>Quadro 1 - Exemplo Descrição dos níveis de segurança e consequências de acordo com as ocorrências</w:t>
      </w:r>
    </w:p>
    <w:p>
      <w:pPr>
        <w:spacing w:after="0" w:line="360" w:lineRule="auto"/>
        <w:jc w:val="both"/>
        <w:rPr>
          <w:spacing w:val="2"/>
          <w:sz w:val="20"/>
          <w:szCs w:val="20"/>
        </w:rPr>
      </w:pPr>
    </w:p>
    <w:p>
      <w:pPr>
        <w:spacing w:after="0" w:line="360" w:lineRule="auto"/>
        <w:jc w:val="both"/>
        <w:rPr>
          <w:spacing w:val="2"/>
          <w:sz w:val="20"/>
          <w:szCs w:val="20"/>
        </w:rPr>
      </w:pPr>
    </w:p>
    <w:p>
      <w:pPr>
        <w:spacing w:after="0" w:line="360" w:lineRule="auto"/>
        <w:jc w:val="both"/>
        <w:rPr>
          <w:spacing w:val="2"/>
          <w:sz w:val="20"/>
          <w:szCs w:val="20"/>
        </w:rPr>
      </w:pPr>
    </w:p>
    <w:p>
      <w:pPr>
        <w:spacing w:after="0" w:line="360" w:lineRule="auto"/>
        <w:jc w:val="both"/>
        <w:rPr>
          <w:spacing w:val="2"/>
          <w:sz w:val="20"/>
          <w:szCs w:val="20"/>
        </w:rPr>
      </w:pPr>
    </w:p>
    <w:p>
      <w:pPr>
        <w:pStyle w:val="19"/>
        <w:numPr>
          <w:ilvl w:val="0"/>
          <w:numId w:val="14"/>
        </w:numPr>
        <w:spacing w:after="0" w:line="360" w:lineRule="auto"/>
        <w:ind w:left="0" w:firstLine="284"/>
        <w:jc w:val="both"/>
      </w:pPr>
      <w:r>
        <w:t>Definição dos níveis de Alerta para Ocorrências excepcionais ou circunstâncias anômalas, ou seja, quadros para identificação dos níveis de alerta de acordo com as situações observadas.</w:t>
      </w:r>
    </w:p>
    <w:p>
      <w:pPr>
        <w:pStyle w:val="19"/>
        <w:numPr>
          <w:ilvl w:val="0"/>
          <w:numId w:val="14"/>
        </w:numPr>
        <w:spacing w:after="0" w:line="360" w:lineRule="auto"/>
        <w:ind w:left="0" w:firstLine="284"/>
        <w:jc w:val="both"/>
      </w:pPr>
      <w:r>
        <w:t>Procedimentos de Comunicação e de Ação Imediata, ou seja, quadros para auxílio nos procedimentos de definição de ações a serem implementadas de acordo com os níveis de segurança observados.</w:t>
      </w:r>
    </w:p>
    <w:p>
      <w:pPr>
        <w:pStyle w:val="19"/>
        <w:numPr>
          <w:ilvl w:val="0"/>
          <w:numId w:val="14"/>
        </w:numPr>
        <w:spacing w:after="0" w:line="360" w:lineRule="auto"/>
        <w:ind w:left="0" w:firstLine="284"/>
        <w:jc w:val="both"/>
      </w:pPr>
      <w:r>
        <w:t>Fluxograma contendo os funcionários a serem contatados no caso de uma situação de emergência.</w:t>
      </w:r>
    </w:p>
    <w:p>
      <w:pPr>
        <w:pStyle w:val="19"/>
        <w:numPr>
          <w:ilvl w:val="0"/>
          <w:numId w:val="14"/>
        </w:numPr>
        <w:spacing w:after="0" w:line="360" w:lineRule="auto"/>
        <w:ind w:left="0" w:firstLine="284"/>
        <w:jc w:val="both"/>
      </w:pPr>
      <w:r>
        <w:t>Lista de Notificação constando os telefones de contato de responsáveis por cada uma das barragens.</w:t>
      </w:r>
    </w:p>
    <w:p>
      <w:pPr>
        <w:pStyle w:val="19"/>
        <w:numPr>
          <w:ilvl w:val="0"/>
          <w:numId w:val="14"/>
        </w:numPr>
        <w:spacing w:after="0" w:line="360" w:lineRule="auto"/>
        <w:ind w:left="0" w:firstLine="284"/>
        <w:jc w:val="both"/>
      </w:pPr>
      <w:r>
        <w:t>Descrição das responsabilidades gerais do empreendedor.</w:t>
      </w:r>
    </w:p>
    <w:p>
      <w:pPr>
        <w:pStyle w:val="19"/>
        <w:numPr>
          <w:ilvl w:val="0"/>
          <w:numId w:val="14"/>
        </w:numPr>
        <w:spacing w:after="0" w:line="360" w:lineRule="auto"/>
        <w:ind w:left="0" w:firstLine="284"/>
        <w:jc w:val="both"/>
      </w:pPr>
      <w:r>
        <w:t>Planilha contendo os recursos materiais e logísticos da barragem, recursos materiais fixos e mobilizáveis, com destaque para meios de comunicação, de fornecimento de energia, transporte, que são necessários em uma situação de emergência.</w:t>
      </w:r>
    </w:p>
    <w:p>
      <w:pPr>
        <w:pStyle w:val="19"/>
        <w:numPr>
          <w:ilvl w:val="0"/>
          <w:numId w:val="14"/>
        </w:numPr>
        <w:spacing w:after="0" w:line="360" w:lineRule="auto"/>
        <w:ind w:left="0" w:firstLine="284"/>
        <w:jc w:val="both"/>
      </w:pPr>
      <w:r>
        <w:t>Estudo de Rompimento da Barragem e o Respectivo mapa de inundação, isto é, uma síntese do estudo de rompimento, com descrição das metodologias adotadas e softwares utilizados, bem como os mapas de inundação gerados para as áreas impactadas.</w:t>
      </w:r>
    </w:p>
    <w:p>
      <w:pPr>
        <w:pStyle w:val="19"/>
        <w:numPr>
          <w:ilvl w:val="0"/>
          <w:numId w:val="14"/>
        </w:numPr>
        <w:spacing w:after="0" w:line="360" w:lineRule="auto"/>
        <w:ind w:left="0" w:firstLine="284"/>
        <w:jc w:val="both"/>
      </w:pPr>
      <w:r>
        <w:t>Além dos mapas de inundação serão gerados mapas com uma proposição das rotas de fuga e pontos de encontro.</w:t>
      </w:r>
    </w:p>
    <w:p>
      <w:pPr>
        <w:pStyle w:val="19"/>
        <w:numPr>
          <w:ilvl w:val="0"/>
          <w:numId w:val="14"/>
        </w:numPr>
        <w:spacing w:after="0" w:line="360" w:lineRule="auto"/>
        <w:ind w:left="0" w:firstLine="284"/>
        <w:jc w:val="both"/>
      </w:pPr>
      <w:r>
        <w:t>Responsabilidades: atribuição das responsabilidades de caráter geral para o Empreendedor, o coordenador do PAE e o Comitê de Monitoramento de Crise – CMC, aplicáveis a situações envolvendo emergências associadas a segurança de barragem.</w:t>
      </w:r>
    </w:p>
    <w:p>
      <w:pPr>
        <w:pStyle w:val="19"/>
        <w:numPr>
          <w:ilvl w:val="0"/>
          <w:numId w:val="14"/>
        </w:numPr>
        <w:spacing w:after="0" w:line="360" w:lineRule="auto"/>
        <w:ind w:left="0" w:firstLine="284"/>
        <w:jc w:val="both"/>
      </w:pPr>
      <w:r>
        <w:t>Proposição da Sinalização de Zonas de Risco e Alerta a População: Em atenção ao artigo 4°, incisos II, IV e V da Lei Federal 12.334/2010, a população deve ser informada e estimulada a participar, direta ou indiretamente, das ações preventivas emergenciais. Dentro desde contexto de preparar a população potencialmente afetada pela eventualidade de uma ruptura das barragens estudadas ou pelo impacto de operações extremas dos órgãos de descarga, segue uma metodologia de gestão para educação e comunicação social para preparar a população de maneira que a mesma execute o seu papel com segurança e sem pânico. Para tanto, de acordo com o guia do CENAD de Orientações para Apoio à Elaboração de Planos de Contingência Municipais para Barragens, deverá ser realizado uma audiência pública em cada município impactado para cumprir os requisitos legais. A responsabilidade da CONTRATANTE acerca da audiência pública é prover suporte técnico as prefeituras e órgãos de proteção civil.</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Responsabilidades do Empreendedor Para Com os Órgãos Públicos</w:t>
      </w:r>
    </w:p>
    <w:p>
      <w:pPr>
        <w:pStyle w:val="19"/>
        <w:numPr>
          <w:ilvl w:val="0"/>
          <w:numId w:val="14"/>
        </w:numPr>
        <w:spacing w:after="0" w:line="360" w:lineRule="auto"/>
        <w:ind w:left="0" w:firstLine="284"/>
        <w:jc w:val="both"/>
      </w:pPr>
      <w:r>
        <w:t>O Empreendedor deverá elaborar e fornecer o Plano de Contingência à Defesa Civil, de acordo com o Guia Orientações para Apoio à Elaboração de Planos de Contingência Municipais de Barragens:</w:t>
      </w:r>
    </w:p>
    <w:p>
      <w:pPr>
        <w:pStyle w:val="19"/>
        <w:numPr>
          <w:ilvl w:val="0"/>
          <w:numId w:val="14"/>
        </w:numPr>
        <w:spacing w:after="0" w:line="360" w:lineRule="auto"/>
        <w:ind w:left="0" w:firstLine="284"/>
        <w:jc w:val="both"/>
      </w:pPr>
      <w:r>
        <w:t>Identificação do cenário de risco;</w:t>
      </w:r>
    </w:p>
    <w:p>
      <w:pPr>
        <w:pStyle w:val="19"/>
        <w:numPr>
          <w:ilvl w:val="0"/>
          <w:numId w:val="14"/>
        </w:numPr>
        <w:spacing w:after="0" w:line="360" w:lineRule="auto"/>
        <w:ind w:left="0" w:firstLine="284"/>
        <w:jc w:val="both"/>
      </w:pPr>
      <w:r>
        <w:t>Identificação da área de impacto potencial;</w:t>
      </w:r>
    </w:p>
    <w:p>
      <w:pPr>
        <w:pStyle w:val="19"/>
        <w:numPr>
          <w:ilvl w:val="0"/>
          <w:numId w:val="14"/>
        </w:numPr>
        <w:spacing w:after="0" w:line="360" w:lineRule="auto"/>
        <w:ind w:left="0" w:firstLine="284"/>
        <w:jc w:val="both"/>
      </w:pPr>
      <w:r>
        <w:t>Definição do sistema de monitoramento e alerta;</w:t>
      </w:r>
    </w:p>
    <w:p>
      <w:pPr>
        <w:pStyle w:val="19"/>
        <w:numPr>
          <w:ilvl w:val="0"/>
          <w:numId w:val="14"/>
        </w:numPr>
        <w:spacing w:after="0" w:line="360" w:lineRule="auto"/>
        <w:ind w:left="0" w:firstLine="284"/>
        <w:jc w:val="both"/>
      </w:pPr>
      <w:r>
        <w:t>Definição de um sistema de alarme;</w:t>
      </w:r>
    </w:p>
    <w:p>
      <w:pPr>
        <w:pStyle w:val="19"/>
        <w:numPr>
          <w:ilvl w:val="0"/>
          <w:numId w:val="14"/>
        </w:numPr>
        <w:spacing w:after="0" w:line="360" w:lineRule="auto"/>
        <w:ind w:left="0" w:firstLine="284"/>
        <w:jc w:val="both"/>
      </w:pPr>
      <w:r>
        <w:t>Estabelecimento de Rotas de Fuga e Pontos de Encontro;</w:t>
      </w:r>
    </w:p>
    <w:p>
      <w:pPr>
        <w:pStyle w:val="19"/>
        <w:numPr>
          <w:ilvl w:val="0"/>
          <w:numId w:val="14"/>
        </w:numPr>
        <w:spacing w:after="0" w:line="360" w:lineRule="auto"/>
        <w:ind w:left="0" w:firstLine="284"/>
        <w:jc w:val="both"/>
      </w:pPr>
      <w:r>
        <w:t>Plano de Comunicação a autoridades e Serviços de Emergência.</w:t>
      </w:r>
    </w:p>
    <w:p>
      <w:pPr>
        <w:pStyle w:val="19"/>
        <w:numPr>
          <w:ilvl w:val="0"/>
          <w:numId w:val="14"/>
        </w:numPr>
        <w:spacing w:after="0" w:line="360" w:lineRule="auto"/>
        <w:ind w:left="0" w:firstLine="284"/>
        <w:jc w:val="both"/>
      </w:pPr>
      <w:r>
        <w:t>Além do viés de compromisso social entende-se que a legislação vigente permite inferir mais objetivamente responsabilidades dos empreendedores quanto à necessidade de viabilizar e apoiar tecnicamente as equipes das Defesas Civis Municipais para o desenvolvimento dos Planos de Contingência;</w:t>
      </w:r>
    </w:p>
    <w:p>
      <w:pPr>
        <w:pStyle w:val="19"/>
        <w:numPr>
          <w:ilvl w:val="0"/>
          <w:numId w:val="14"/>
        </w:numPr>
        <w:spacing w:after="0" w:line="360" w:lineRule="auto"/>
        <w:ind w:left="0" w:firstLine="284"/>
        <w:jc w:val="both"/>
      </w:pPr>
      <w:r>
        <w:t>Imediatamente após a conclusão dos estudos de ruptura hipotética da barragem, geração dos mapas de inundação e elaboração do PAE, será definido com a CONTRATANTE as pastas que serão disponibilizadas para a Defesa Civil dos municípios impactados.</w:t>
      </w:r>
    </w:p>
    <w:p>
      <w:pPr>
        <w:pStyle w:val="19"/>
        <w:numPr>
          <w:ilvl w:val="0"/>
          <w:numId w:val="14"/>
        </w:numPr>
        <w:spacing w:after="0" w:line="360" w:lineRule="auto"/>
        <w:ind w:left="0" w:firstLine="284"/>
        <w:jc w:val="both"/>
      </w:pPr>
      <w:r>
        <w:t>Será fornecido um Plano de Contingência Interno para os funcionários da barragem estudada, este irá conter informações sobre rotas de fuga, pontos de encontro, responsabilidades, etc.</w:t>
      </w:r>
    </w:p>
    <w:p>
      <w:pPr>
        <w:pStyle w:val="19"/>
        <w:numPr>
          <w:ilvl w:val="0"/>
          <w:numId w:val="14"/>
        </w:numPr>
        <w:spacing w:after="0" w:line="360" w:lineRule="auto"/>
        <w:ind w:left="0" w:firstLine="284"/>
        <w:jc w:val="both"/>
      </w:pPr>
      <w:r>
        <w:t>O estudo de rompimento hipotético da barragem é a determinação do mapa de inundação com informações úteis para que os organismos de defesa civil possam elaborar seus planos de contingência para aplicação em caso de emergência.</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Responsabilidades Para Com a Defesa Civil</w:t>
      </w:r>
    </w:p>
    <w:p>
      <w:pPr>
        <w:spacing w:after="0" w:line="360" w:lineRule="auto"/>
        <w:jc w:val="both"/>
      </w:pPr>
      <w:r>
        <w:t>Cabe ao Empreendedor elaborar o Plano de Contingência, que submeterá a apreciação da Defesa Civil, de acordo com:</w:t>
      </w:r>
    </w:p>
    <w:p>
      <w:pPr>
        <w:pStyle w:val="19"/>
        <w:numPr>
          <w:ilvl w:val="0"/>
          <w:numId w:val="14"/>
        </w:numPr>
        <w:spacing w:after="0" w:line="360" w:lineRule="auto"/>
        <w:ind w:left="0" w:firstLine="284"/>
        <w:jc w:val="both"/>
      </w:pPr>
      <w:r>
        <w:t>Definição e dimensionamento dos meios de transporte e das rotas para resgate da população nos pontos de encontro;</w:t>
      </w:r>
    </w:p>
    <w:p>
      <w:pPr>
        <w:pStyle w:val="19"/>
        <w:numPr>
          <w:ilvl w:val="0"/>
          <w:numId w:val="14"/>
        </w:numPr>
        <w:spacing w:after="0" w:line="360" w:lineRule="auto"/>
        <w:ind w:left="0" w:firstLine="284"/>
        <w:jc w:val="both"/>
      </w:pPr>
      <w:r>
        <w:t>Definição e dimensionamento dos locais de abrigamento, atendimento médico-hospitalar e psicológico;</w:t>
      </w:r>
    </w:p>
    <w:p>
      <w:pPr>
        <w:pStyle w:val="19"/>
        <w:numPr>
          <w:ilvl w:val="0"/>
          <w:numId w:val="14"/>
        </w:numPr>
        <w:spacing w:after="0" w:line="360" w:lineRule="auto"/>
        <w:ind w:left="0" w:firstLine="284"/>
        <w:jc w:val="both"/>
      </w:pPr>
      <w:r>
        <w:t>Definição do plano de acionamento de autoridades e serviços de emergência municipais e/ou estaduais;</w:t>
      </w:r>
    </w:p>
    <w:p>
      <w:pPr>
        <w:pStyle w:val="19"/>
        <w:numPr>
          <w:ilvl w:val="0"/>
          <w:numId w:val="14"/>
        </w:numPr>
        <w:spacing w:after="0" w:line="360" w:lineRule="auto"/>
        <w:ind w:left="0" w:firstLine="284"/>
        <w:jc w:val="both"/>
      </w:pPr>
      <w:r>
        <w:t>Definição de responsáveis para cada fase do Plano, com a identificação clara dos recursos disponíveis, instituições envolvidas bem como seus representantes.</w:t>
      </w:r>
    </w:p>
    <w:p>
      <w:pPr>
        <w:pStyle w:val="19"/>
        <w:numPr>
          <w:ilvl w:val="0"/>
          <w:numId w:val="14"/>
        </w:numPr>
        <w:spacing w:after="0" w:line="360" w:lineRule="auto"/>
        <w:ind w:left="0" w:firstLine="284"/>
        <w:jc w:val="both"/>
      </w:pPr>
      <w:r>
        <w:t>É atribuição da Defesa Civil o mapeamento das ocupações humanas acompanhado de um levantamento cadastral a ser realizado nessas áreas. É muito importante que se tenha definido o quantitativo populacional que reside na área, bem como a identificação de vulnerabilidades sociais, tais como portadores de necessidades especiais, idosos e crianças, dentre outras.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Estrutura do PAE</w:t>
      </w:r>
    </w:p>
    <w:p>
      <w:pPr>
        <w:pStyle w:val="19"/>
        <w:widowControl w:val="0"/>
        <w:numPr>
          <w:ilvl w:val="0"/>
          <w:numId w:val="27"/>
        </w:numPr>
        <w:tabs>
          <w:tab w:val="left" w:pos="426"/>
        </w:tabs>
        <w:autoSpaceDE w:val="0"/>
        <w:autoSpaceDN w:val="0"/>
        <w:spacing w:before="67" w:after="0" w:line="240" w:lineRule="auto"/>
        <w:ind w:left="567" w:hanging="567"/>
        <w:contextualSpacing w:val="0"/>
        <w:rPr>
          <w:rFonts w:cstheme="minorHAnsi"/>
        </w:rPr>
      </w:pPr>
      <w:r>
        <w:rPr>
          <w:rFonts w:cstheme="minorHAnsi"/>
        </w:rPr>
        <w:t>Capa</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Aprovações</w:t>
      </w:r>
    </w:p>
    <w:p>
      <w:pPr>
        <w:pStyle w:val="19"/>
        <w:widowControl w:val="0"/>
        <w:numPr>
          <w:ilvl w:val="0"/>
          <w:numId w:val="27"/>
        </w:numPr>
        <w:tabs>
          <w:tab w:val="left" w:pos="567"/>
        </w:tabs>
        <w:autoSpaceDE w:val="0"/>
        <w:autoSpaceDN w:val="0"/>
        <w:spacing w:before="129" w:after="0" w:line="240" w:lineRule="auto"/>
        <w:ind w:left="426" w:hanging="426"/>
        <w:contextualSpacing w:val="0"/>
        <w:rPr>
          <w:rFonts w:cstheme="minorHAnsi"/>
        </w:rPr>
      </w:pPr>
      <w:r>
        <w:rPr>
          <w:rFonts w:cstheme="minorHAnsi"/>
        </w:rPr>
        <w:t>Informações gerais da</w:t>
      </w:r>
      <w:r>
        <w:rPr>
          <w:rFonts w:cstheme="minorHAnsi"/>
          <w:spacing w:val="-8"/>
        </w:rPr>
        <w:t xml:space="preserve"> </w:t>
      </w:r>
      <w:r>
        <w:rPr>
          <w:rFonts w:cstheme="minorHAnsi"/>
        </w:rPr>
        <w:t>barragem</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Apresentação</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spacing w:val="3"/>
        </w:rPr>
        <w:t xml:space="preserve">Objetivo </w:t>
      </w:r>
      <w:r>
        <w:rPr>
          <w:rFonts w:cstheme="minorHAnsi"/>
        </w:rPr>
        <w:t xml:space="preserve">do </w:t>
      </w:r>
      <w:r>
        <w:rPr>
          <w:rFonts w:cstheme="minorHAnsi"/>
          <w:spacing w:val="-40"/>
        </w:rPr>
        <w:t xml:space="preserve"> </w:t>
      </w:r>
      <w:r>
        <w:rPr>
          <w:rFonts w:cstheme="minorHAnsi"/>
        </w:rPr>
        <w:t>PAE</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Descrição</w:t>
      </w:r>
      <w:r>
        <w:rPr>
          <w:rFonts w:cstheme="minorHAnsi"/>
          <w:spacing w:val="-20"/>
        </w:rPr>
        <w:t xml:space="preserve"> </w:t>
      </w:r>
      <w:r>
        <w:rPr>
          <w:rFonts w:cstheme="minorHAnsi"/>
        </w:rPr>
        <w:t>da</w:t>
      </w:r>
      <w:r>
        <w:rPr>
          <w:rFonts w:cstheme="minorHAnsi"/>
          <w:spacing w:val="-11"/>
        </w:rPr>
        <w:t xml:space="preserve"> </w:t>
      </w:r>
      <w:r>
        <w:rPr>
          <w:rFonts w:cstheme="minorHAnsi"/>
        </w:rPr>
        <w:t>barragem;</w:t>
      </w:r>
      <w:r>
        <w:rPr>
          <w:rFonts w:cstheme="minorHAnsi"/>
          <w:spacing w:val="4"/>
        </w:rPr>
        <w:t xml:space="preserve"> </w:t>
      </w:r>
      <w:r>
        <w:rPr>
          <w:rFonts w:cstheme="minorHAnsi"/>
          <w:spacing w:val="3"/>
        </w:rPr>
        <w:t>Localização</w:t>
      </w:r>
      <w:r>
        <w:rPr>
          <w:rFonts w:cstheme="minorHAnsi"/>
          <w:spacing w:val="-19"/>
        </w:rPr>
        <w:t xml:space="preserve"> </w:t>
      </w:r>
      <w:r>
        <w:rPr>
          <w:rFonts w:cstheme="minorHAnsi"/>
        </w:rPr>
        <w:t>e</w:t>
      </w:r>
      <w:r>
        <w:rPr>
          <w:rFonts w:cstheme="minorHAnsi"/>
          <w:spacing w:val="-13"/>
        </w:rPr>
        <w:t xml:space="preserve"> </w:t>
      </w:r>
      <w:r>
        <w:rPr>
          <w:rFonts w:cstheme="minorHAnsi"/>
          <w:spacing w:val="2"/>
        </w:rPr>
        <w:t>Acesso</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Identificação</w:t>
      </w:r>
      <w:r>
        <w:rPr>
          <w:rFonts w:cstheme="minorHAnsi"/>
          <w:spacing w:val="-22"/>
        </w:rPr>
        <w:t xml:space="preserve"> </w:t>
      </w:r>
      <w:r>
        <w:rPr>
          <w:rFonts w:cstheme="minorHAnsi"/>
        </w:rPr>
        <w:t>e</w:t>
      </w:r>
      <w:r>
        <w:rPr>
          <w:rFonts w:cstheme="minorHAnsi"/>
          <w:spacing w:val="-14"/>
        </w:rPr>
        <w:t xml:space="preserve"> </w:t>
      </w:r>
      <w:r>
        <w:rPr>
          <w:rFonts w:cstheme="minorHAnsi"/>
          <w:spacing w:val="3"/>
        </w:rPr>
        <w:t>análise</w:t>
      </w:r>
      <w:r>
        <w:rPr>
          <w:rFonts w:cstheme="minorHAnsi"/>
          <w:spacing w:val="-15"/>
        </w:rPr>
        <w:t xml:space="preserve"> </w:t>
      </w:r>
      <w:r>
        <w:rPr>
          <w:rFonts w:cstheme="minorHAnsi"/>
          <w:spacing w:val="2"/>
        </w:rPr>
        <w:t>das</w:t>
      </w:r>
      <w:r>
        <w:rPr>
          <w:rFonts w:cstheme="minorHAnsi"/>
          <w:spacing w:val="-16"/>
        </w:rPr>
        <w:t xml:space="preserve"> </w:t>
      </w:r>
      <w:r>
        <w:rPr>
          <w:rFonts w:cstheme="minorHAnsi"/>
        </w:rPr>
        <w:t>possíveis</w:t>
      </w:r>
      <w:r>
        <w:rPr>
          <w:rFonts w:cstheme="minorHAnsi"/>
          <w:spacing w:val="-17"/>
        </w:rPr>
        <w:t xml:space="preserve"> </w:t>
      </w:r>
      <w:r>
        <w:rPr>
          <w:rFonts w:cstheme="minorHAnsi"/>
          <w:spacing w:val="3"/>
        </w:rPr>
        <w:t>situações</w:t>
      </w:r>
      <w:r>
        <w:rPr>
          <w:rFonts w:cstheme="minorHAnsi"/>
          <w:spacing w:val="-30"/>
        </w:rPr>
        <w:t xml:space="preserve"> </w:t>
      </w:r>
      <w:r>
        <w:rPr>
          <w:rFonts w:cstheme="minorHAnsi"/>
        </w:rPr>
        <w:t>de</w:t>
      </w:r>
      <w:r>
        <w:rPr>
          <w:rFonts w:cstheme="minorHAnsi"/>
          <w:spacing w:val="-15"/>
        </w:rPr>
        <w:t xml:space="preserve"> </w:t>
      </w:r>
      <w:r>
        <w:rPr>
          <w:rFonts w:cstheme="minorHAnsi"/>
        </w:rPr>
        <w:t>emergência</w:t>
      </w:r>
    </w:p>
    <w:p>
      <w:pPr>
        <w:pStyle w:val="19"/>
        <w:widowControl w:val="0"/>
        <w:numPr>
          <w:ilvl w:val="1"/>
          <w:numId w:val="27"/>
        </w:numPr>
        <w:tabs>
          <w:tab w:val="left" w:pos="567"/>
          <w:tab w:val="left" w:pos="851"/>
          <w:tab w:val="left" w:pos="2884"/>
        </w:tabs>
        <w:autoSpaceDE w:val="0"/>
        <w:autoSpaceDN w:val="0"/>
        <w:spacing w:before="130" w:after="0" w:line="240" w:lineRule="auto"/>
        <w:ind w:left="851" w:hanging="360"/>
        <w:contextualSpacing w:val="0"/>
        <w:rPr>
          <w:rFonts w:cstheme="minorHAnsi"/>
        </w:rPr>
      </w:pPr>
      <w:r>
        <w:rPr>
          <w:rFonts w:cstheme="minorHAnsi"/>
          <w:spacing w:val="2"/>
        </w:rPr>
        <w:t>Caracterização</w:t>
      </w:r>
      <w:r>
        <w:rPr>
          <w:rFonts w:cstheme="minorHAnsi"/>
          <w:spacing w:val="-20"/>
        </w:rPr>
        <w:t xml:space="preserve"> </w:t>
      </w:r>
      <w:r>
        <w:rPr>
          <w:rFonts w:cstheme="minorHAnsi"/>
        </w:rPr>
        <w:t>dos</w:t>
      </w:r>
      <w:r>
        <w:rPr>
          <w:rFonts w:cstheme="minorHAnsi"/>
          <w:spacing w:val="-14"/>
        </w:rPr>
        <w:t xml:space="preserve"> </w:t>
      </w:r>
      <w:r>
        <w:rPr>
          <w:rFonts w:cstheme="minorHAnsi"/>
          <w:spacing w:val="2"/>
        </w:rPr>
        <w:t>níveis</w:t>
      </w:r>
      <w:r>
        <w:rPr>
          <w:rFonts w:cstheme="minorHAnsi"/>
          <w:spacing w:val="-15"/>
        </w:rPr>
        <w:t xml:space="preserve"> </w:t>
      </w:r>
      <w:r>
        <w:rPr>
          <w:rFonts w:cstheme="minorHAnsi"/>
        </w:rPr>
        <w:t>de</w:t>
      </w:r>
      <w:r>
        <w:rPr>
          <w:rFonts w:cstheme="minorHAnsi"/>
          <w:spacing w:val="-12"/>
        </w:rPr>
        <w:t xml:space="preserve"> </w:t>
      </w:r>
      <w:r>
        <w:rPr>
          <w:rFonts w:cstheme="minorHAnsi"/>
        </w:rPr>
        <w:t>segurança</w:t>
      </w:r>
    </w:p>
    <w:p>
      <w:pPr>
        <w:pStyle w:val="19"/>
        <w:widowControl w:val="0"/>
        <w:numPr>
          <w:ilvl w:val="2"/>
          <w:numId w:val="27"/>
        </w:numPr>
        <w:tabs>
          <w:tab w:val="left" w:pos="1134"/>
          <w:tab w:val="left" w:pos="3605"/>
        </w:tabs>
        <w:autoSpaceDE w:val="0"/>
        <w:autoSpaceDN w:val="0"/>
        <w:spacing w:before="129" w:after="0" w:line="240" w:lineRule="auto"/>
        <w:ind w:left="851" w:firstLine="0"/>
        <w:contextualSpacing w:val="0"/>
        <w:rPr>
          <w:rFonts w:cstheme="minorHAnsi"/>
        </w:rPr>
      </w:pPr>
      <w:r>
        <w:rPr>
          <w:rFonts w:cstheme="minorHAnsi"/>
          <w:spacing w:val="-3"/>
        </w:rPr>
        <w:t>Normal</w:t>
      </w:r>
    </w:p>
    <w:p>
      <w:pPr>
        <w:pStyle w:val="19"/>
        <w:widowControl w:val="0"/>
        <w:numPr>
          <w:ilvl w:val="2"/>
          <w:numId w:val="27"/>
        </w:numPr>
        <w:tabs>
          <w:tab w:val="left" w:pos="567"/>
          <w:tab w:val="left" w:pos="1134"/>
          <w:tab w:val="left" w:pos="3605"/>
        </w:tabs>
        <w:autoSpaceDE w:val="0"/>
        <w:autoSpaceDN w:val="0"/>
        <w:spacing w:before="129" w:after="0" w:line="240" w:lineRule="auto"/>
        <w:ind w:left="851" w:firstLine="0"/>
        <w:contextualSpacing w:val="0"/>
        <w:rPr>
          <w:rFonts w:cstheme="minorHAnsi"/>
        </w:rPr>
      </w:pPr>
      <w:r>
        <w:rPr>
          <w:rFonts w:cstheme="minorHAnsi"/>
          <w:spacing w:val="2"/>
        </w:rPr>
        <w:t>Atenção</w:t>
      </w:r>
    </w:p>
    <w:p>
      <w:pPr>
        <w:pStyle w:val="19"/>
        <w:widowControl w:val="0"/>
        <w:numPr>
          <w:ilvl w:val="2"/>
          <w:numId w:val="27"/>
        </w:numPr>
        <w:tabs>
          <w:tab w:val="left" w:pos="567"/>
          <w:tab w:val="left" w:pos="1134"/>
          <w:tab w:val="left" w:pos="3605"/>
        </w:tabs>
        <w:autoSpaceDE w:val="0"/>
        <w:autoSpaceDN w:val="0"/>
        <w:spacing w:before="130" w:after="0" w:line="240" w:lineRule="auto"/>
        <w:ind w:left="851" w:firstLine="0"/>
        <w:contextualSpacing w:val="0"/>
        <w:rPr>
          <w:rFonts w:cstheme="minorHAnsi"/>
        </w:rPr>
      </w:pPr>
      <w:r>
        <w:rPr>
          <w:rFonts w:cstheme="minorHAnsi"/>
        </w:rPr>
        <w:t>Alerta</w:t>
      </w:r>
    </w:p>
    <w:p>
      <w:pPr>
        <w:pStyle w:val="19"/>
        <w:widowControl w:val="0"/>
        <w:numPr>
          <w:ilvl w:val="2"/>
          <w:numId w:val="27"/>
        </w:numPr>
        <w:tabs>
          <w:tab w:val="left" w:pos="567"/>
          <w:tab w:val="left" w:pos="1134"/>
          <w:tab w:val="left" w:pos="3605"/>
        </w:tabs>
        <w:autoSpaceDE w:val="0"/>
        <w:autoSpaceDN w:val="0"/>
        <w:spacing w:before="129" w:after="0" w:line="240" w:lineRule="auto"/>
        <w:ind w:left="851" w:firstLine="0"/>
        <w:contextualSpacing w:val="0"/>
        <w:rPr>
          <w:rFonts w:cstheme="minorHAnsi"/>
        </w:rPr>
      </w:pPr>
      <w:r>
        <w:rPr>
          <w:rFonts w:cstheme="minorHAnsi"/>
        </w:rPr>
        <w:t>Emergência</w:t>
      </w:r>
    </w:p>
    <w:p>
      <w:pPr>
        <w:pStyle w:val="19"/>
        <w:widowControl w:val="0"/>
        <w:numPr>
          <w:ilvl w:val="0"/>
          <w:numId w:val="27"/>
        </w:numPr>
        <w:tabs>
          <w:tab w:val="left" w:pos="567"/>
          <w:tab w:val="left" w:pos="2884"/>
        </w:tabs>
        <w:autoSpaceDE w:val="0"/>
        <w:autoSpaceDN w:val="0"/>
        <w:spacing w:before="129" w:after="0" w:line="240" w:lineRule="auto"/>
        <w:ind w:left="567" w:hanging="567"/>
        <w:contextualSpacing w:val="0"/>
        <w:rPr>
          <w:rFonts w:cstheme="minorHAnsi"/>
        </w:rPr>
      </w:pPr>
      <w:r>
        <w:rPr>
          <w:rFonts w:cstheme="minorHAnsi"/>
        </w:rPr>
        <w:t>Procedimentos de identificação de mau funcionamento ou condições potenciais de ruptura</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Procedimentos preventivos e corretivos a serem adotados em situações de emergência</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Procedimentos de notificação e alerta</w:t>
      </w:r>
    </w:p>
    <w:p>
      <w:pPr>
        <w:pStyle w:val="19"/>
        <w:widowControl w:val="0"/>
        <w:numPr>
          <w:ilvl w:val="1"/>
          <w:numId w:val="27"/>
        </w:numPr>
        <w:tabs>
          <w:tab w:val="left" w:pos="567"/>
          <w:tab w:val="left" w:pos="2884"/>
        </w:tabs>
        <w:autoSpaceDE w:val="0"/>
        <w:autoSpaceDN w:val="0"/>
        <w:spacing w:before="130" w:after="0" w:line="350" w:lineRule="auto"/>
        <w:ind w:left="851" w:right="234" w:hanging="360"/>
        <w:contextualSpacing w:val="0"/>
        <w:rPr>
          <w:rFonts w:cstheme="minorHAnsi"/>
        </w:rPr>
      </w:pPr>
      <w:r>
        <w:rPr>
          <w:rFonts w:cstheme="minorHAnsi"/>
          <w:spacing w:val="2"/>
        </w:rPr>
        <w:t>Estratégia</w:t>
      </w:r>
      <w:r>
        <w:rPr>
          <w:rFonts w:cstheme="minorHAnsi"/>
          <w:spacing w:val="-15"/>
        </w:rPr>
        <w:t xml:space="preserve"> </w:t>
      </w:r>
      <w:r>
        <w:rPr>
          <w:rFonts w:cstheme="minorHAnsi"/>
        </w:rPr>
        <w:t>e</w:t>
      </w:r>
      <w:r>
        <w:rPr>
          <w:rFonts w:cstheme="minorHAnsi"/>
          <w:spacing w:val="-6"/>
        </w:rPr>
        <w:t xml:space="preserve"> </w:t>
      </w:r>
      <w:r>
        <w:rPr>
          <w:rFonts w:cstheme="minorHAnsi"/>
        </w:rPr>
        <w:t>meio</w:t>
      </w:r>
      <w:r>
        <w:rPr>
          <w:rFonts w:cstheme="minorHAnsi"/>
          <w:spacing w:val="-10"/>
        </w:rPr>
        <w:t xml:space="preserve"> </w:t>
      </w:r>
      <w:r>
        <w:rPr>
          <w:rFonts w:cstheme="minorHAnsi"/>
        </w:rPr>
        <w:t>de</w:t>
      </w:r>
      <w:r>
        <w:rPr>
          <w:rFonts w:cstheme="minorHAnsi"/>
          <w:spacing w:val="-6"/>
        </w:rPr>
        <w:t xml:space="preserve"> </w:t>
      </w:r>
      <w:r>
        <w:rPr>
          <w:rFonts w:cstheme="minorHAnsi"/>
          <w:spacing w:val="3"/>
        </w:rPr>
        <w:t>divulgação</w:t>
      </w:r>
      <w:r>
        <w:rPr>
          <w:rFonts w:cstheme="minorHAnsi"/>
          <w:spacing w:val="-11"/>
        </w:rPr>
        <w:t xml:space="preserve"> </w:t>
      </w:r>
      <w:r>
        <w:rPr>
          <w:rFonts w:cstheme="minorHAnsi"/>
        </w:rPr>
        <w:t>e</w:t>
      </w:r>
      <w:r>
        <w:rPr>
          <w:rFonts w:cstheme="minorHAnsi"/>
          <w:spacing w:val="-6"/>
        </w:rPr>
        <w:t xml:space="preserve"> </w:t>
      </w:r>
      <w:r>
        <w:rPr>
          <w:rFonts w:cstheme="minorHAnsi"/>
          <w:spacing w:val="2"/>
        </w:rPr>
        <w:t>alerta</w:t>
      </w:r>
      <w:r>
        <w:rPr>
          <w:rFonts w:cstheme="minorHAnsi"/>
          <w:spacing w:val="-4"/>
        </w:rPr>
        <w:t xml:space="preserve"> </w:t>
      </w:r>
      <w:r>
        <w:rPr>
          <w:rFonts w:cstheme="minorHAnsi"/>
          <w:spacing w:val="3"/>
        </w:rPr>
        <w:t>às</w:t>
      </w:r>
      <w:r>
        <w:rPr>
          <w:rFonts w:cstheme="minorHAnsi"/>
          <w:spacing w:val="-7"/>
        </w:rPr>
        <w:t xml:space="preserve"> </w:t>
      </w:r>
      <w:r>
        <w:rPr>
          <w:rFonts w:cstheme="minorHAnsi"/>
        </w:rPr>
        <w:t>comunidades</w:t>
      </w:r>
      <w:r>
        <w:rPr>
          <w:rFonts w:cstheme="minorHAnsi"/>
          <w:spacing w:val="-7"/>
        </w:rPr>
        <w:t xml:space="preserve"> </w:t>
      </w:r>
      <w:r>
        <w:rPr>
          <w:rFonts w:cstheme="minorHAnsi"/>
        </w:rPr>
        <w:t>potencialmente</w:t>
      </w:r>
      <w:r>
        <w:rPr>
          <w:rFonts w:cstheme="minorHAnsi"/>
          <w:spacing w:val="-6"/>
        </w:rPr>
        <w:t xml:space="preserve"> </w:t>
      </w:r>
      <w:r>
        <w:rPr>
          <w:rFonts w:cstheme="minorHAnsi"/>
          <w:spacing w:val="3"/>
        </w:rPr>
        <w:t>afetadas</w:t>
      </w:r>
      <w:r>
        <w:rPr>
          <w:rFonts w:cstheme="minorHAnsi"/>
          <w:spacing w:val="-8"/>
        </w:rPr>
        <w:t xml:space="preserve"> </w:t>
      </w:r>
      <w:r>
        <w:rPr>
          <w:rFonts w:cstheme="minorHAnsi"/>
        </w:rPr>
        <w:t xml:space="preserve">em </w:t>
      </w:r>
      <w:r>
        <w:rPr>
          <w:rFonts w:cstheme="minorHAnsi"/>
          <w:spacing w:val="3"/>
        </w:rPr>
        <w:t xml:space="preserve">situação </w:t>
      </w:r>
      <w:r>
        <w:rPr>
          <w:rFonts w:cstheme="minorHAnsi"/>
        </w:rPr>
        <w:t>de</w:t>
      </w:r>
      <w:r>
        <w:rPr>
          <w:rFonts w:cstheme="minorHAnsi"/>
          <w:spacing w:val="-34"/>
        </w:rPr>
        <w:t xml:space="preserve"> </w:t>
      </w:r>
      <w:r>
        <w:rPr>
          <w:rFonts w:cstheme="minorHAnsi"/>
        </w:rPr>
        <w:t>emergência</w:t>
      </w:r>
    </w:p>
    <w:p>
      <w:pPr>
        <w:pStyle w:val="19"/>
        <w:widowControl w:val="0"/>
        <w:numPr>
          <w:ilvl w:val="2"/>
          <w:numId w:val="27"/>
        </w:numPr>
        <w:tabs>
          <w:tab w:val="left" w:pos="567"/>
          <w:tab w:val="left" w:pos="3605"/>
        </w:tabs>
        <w:autoSpaceDE w:val="0"/>
        <w:autoSpaceDN w:val="0"/>
        <w:spacing w:after="0" w:line="275" w:lineRule="exact"/>
        <w:ind w:left="1134" w:hanging="283"/>
        <w:contextualSpacing w:val="0"/>
        <w:rPr>
          <w:rFonts w:cstheme="minorHAnsi"/>
        </w:rPr>
      </w:pPr>
      <w:r>
        <w:rPr>
          <w:rFonts w:cstheme="minorHAnsi"/>
        </w:rPr>
        <w:t>Procedimentos de</w:t>
      </w:r>
      <w:r>
        <w:rPr>
          <w:rFonts w:cstheme="minorHAnsi"/>
          <w:spacing w:val="-11"/>
        </w:rPr>
        <w:t xml:space="preserve"> </w:t>
      </w:r>
      <w:r>
        <w:rPr>
          <w:rFonts w:cstheme="minorHAnsi"/>
        </w:rPr>
        <w:t>comunicação</w:t>
      </w:r>
    </w:p>
    <w:p>
      <w:pPr>
        <w:pStyle w:val="19"/>
        <w:widowControl w:val="0"/>
        <w:numPr>
          <w:ilvl w:val="2"/>
          <w:numId w:val="27"/>
        </w:numPr>
        <w:tabs>
          <w:tab w:val="left" w:pos="567"/>
          <w:tab w:val="left" w:pos="3605"/>
        </w:tabs>
        <w:autoSpaceDE w:val="0"/>
        <w:autoSpaceDN w:val="0"/>
        <w:spacing w:before="129" w:after="0" w:line="240" w:lineRule="auto"/>
        <w:ind w:left="1134" w:hanging="283"/>
        <w:contextualSpacing w:val="0"/>
        <w:rPr>
          <w:rFonts w:cstheme="minorHAnsi"/>
        </w:rPr>
      </w:pPr>
      <w:r>
        <w:rPr>
          <w:rFonts w:cstheme="minorHAnsi"/>
          <w:spacing w:val="2"/>
        </w:rPr>
        <w:t>Sistemas</w:t>
      </w:r>
      <w:r>
        <w:rPr>
          <w:rFonts w:cstheme="minorHAnsi"/>
          <w:spacing w:val="-15"/>
        </w:rPr>
        <w:t xml:space="preserve"> </w:t>
      </w:r>
      <w:r>
        <w:rPr>
          <w:rFonts w:cstheme="minorHAnsi"/>
        </w:rPr>
        <w:t>de</w:t>
      </w:r>
      <w:r>
        <w:rPr>
          <w:rFonts w:cstheme="minorHAnsi"/>
          <w:spacing w:val="-12"/>
        </w:rPr>
        <w:t xml:space="preserve"> </w:t>
      </w:r>
      <w:r>
        <w:rPr>
          <w:rFonts w:cstheme="minorHAnsi"/>
          <w:spacing w:val="2"/>
        </w:rPr>
        <w:t>alerta</w:t>
      </w:r>
      <w:r>
        <w:rPr>
          <w:rFonts w:cstheme="minorHAnsi"/>
          <w:spacing w:val="-9"/>
        </w:rPr>
        <w:t xml:space="preserve"> </w:t>
      </w:r>
      <w:r>
        <w:rPr>
          <w:rFonts w:cstheme="minorHAnsi"/>
        </w:rPr>
        <w:t>e</w:t>
      </w:r>
      <w:r>
        <w:rPr>
          <w:rFonts w:cstheme="minorHAnsi"/>
          <w:spacing w:val="-12"/>
        </w:rPr>
        <w:t xml:space="preserve"> </w:t>
      </w:r>
      <w:r>
        <w:rPr>
          <w:rFonts w:cstheme="minorHAnsi"/>
        </w:rPr>
        <w:t>alarme</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Fluxograma</w:t>
      </w:r>
      <w:r>
        <w:rPr>
          <w:rFonts w:cstheme="minorHAnsi"/>
          <w:spacing w:val="3"/>
        </w:rPr>
        <w:t xml:space="preserve"> </w:t>
      </w:r>
      <w:r>
        <w:rPr>
          <w:rFonts w:cstheme="minorHAnsi"/>
        </w:rPr>
        <w:t xml:space="preserve">de </w:t>
      </w:r>
      <w:r>
        <w:rPr>
          <w:rFonts w:cstheme="minorHAnsi"/>
          <w:spacing w:val="2"/>
        </w:rPr>
        <w:t>notificação</w:t>
      </w:r>
      <w:r>
        <w:rPr>
          <w:rFonts w:cstheme="minorHAnsi"/>
          <w:spacing w:val="-20"/>
        </w:rPr>
        <w:t xml:space="preserve"> </w:t>
      </w:r>
      <w:r>
        <w:rPr>
          <w:rFonts w:cstheme="minorHAnsi"/>
        </w:rPr>
        <w:t>em</w:t>
      </w:r>
      <w:r>
        <w:rPr>
          <w:rFonts w:cstheme="minorHAnsi"/>
          <w:spacing w:val="-23"/>
        </w:rPr>
        <w:t xml:space="preserve"> </w:t>
      </w:r>
      <w:r>
        <w:rPr>
          <w:rFonts w:cstheme="minorHAnsi"/>
          <w:spacing w:val="3"/>
        </w:rPr>
        <w:t>situação</w:t>
      </w:r>
      <w:r>
        <w:rPr>
          <w:rFonts w:cstheme="minorHAnsi"/>
          <w:spacing w:val="-20"/>
        </w:rPr>
        <w:t xml:space="preserve"> </w:t>
      </w:r>
      <w:r>
        <w:rPr>
          <w:rFonts w:cstheme="minorHAnsi"/>
        </w:rPr>
        <w:t>de</w:t>
      </w:r>
      <w:r>
        <w:rPr>
          <w:rFonts w:cstheme="minorHAnsi"/>
          <w:spacing w:val="-14"/>
        </w:rPr>
        <w:t xml:space="preserve"> </w:t>
      </w:r>
      <w:r>
        <w:rPr>
          <w:rFonts w:cstheme="minorHAnsi"/>
        </w:rPr>
        <w:t>emergência</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 xml:space="preserve">Responsabilidades Gerais no </w:t>
      </w:r>
      <w:r>
        <w:rPr>
          <w:rFonts w:cstheme="minorHAnsi"/>
          <w:spacing w:val="-46"/>
        </w:rPr>
        <w:t xml:space="preserve"> </w:t>
      </w:r>
      <w:r>
        <w:rPr>
          <w:rFonts w:cstheme="minorHAnsi"/>
        </w:rPr>
        <w:t>PAE</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Empreendedor</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Coordenador do</w:t>
      </w:r>
      <w:r>
        <w:rPr>
          <w:rFonts w:cstheme="minorHAnsi"/>
          <w:spacing w:val="5"/>
        </w:rPr>
        <w:t xml:space="preserve"> </w:t>
      </w:r>
      <w:r>
        <w:rPr>
          <w:rFonts w:cstheme="minorHAnsi"/>
        </w:rPr>
        <w:t>PAE</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spacing w:val="2"/>
        </w:rPr>
        <w:t xml:space="preserve">Organização </w:t>
      </w:r>
      <w:r>
        <w:rPr>
          <w:rFonts w:cstheme="minorHAnsi"/>
        </w:rPr>
        <w:t>de equipe</w:t>
      </w:r>
      <w:r>
        <w:rPr>
          <w:rFonts w:cstheme="minorHAnsi"/>
          <w:spacing w:val="-45"/>
        </w:rPr>
        <w:t xml:space="preserve"> </w:t>
      </w:r>
      <w:r>
        <w:rPr>
          <w:rFonts w:cstheme="minorHAnsi"/>
          <w:spacing w:val="2"/>
        </w:rPr>
        <w:t>técnica</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Sistema de Proteção</w:t>
      </w:r>
      <w:r>
        <w:rPr>
          <w:rFonts w:cstheme="minorHAnsi"/>
          <w:spacing w:val="-47"/>
        </w:rPr>
        <w:t xml:space="preserve"> </w:t>
      </w:r>
      <w:r>
        <w:rPr>
          <w:rFonts w:cstheme="minorHAnsi"/>
        </w:rPr>
        <w:t xml:space="preserve">e Defesa </w:t>
      </w:r>
      <w:r>
        <w:rPr>
          <w:rFonts w:cstheme="minorHAnsi"/>
          <w:spacing w:val="2"/>
        </w:rPr>
        <w:t>Civil</w:t>
      </w:r>
    </w:p>
    <w:p>
      <w:pPr>
        <w:pStyle w:val="19"/>
        <w:widowControl w:val="0"/>
        <w:numPr>
          <w:ilvl w:val="0"/>
          <w:numId w:val="27"/>
        </w:numPr>
        <w:tabs>
          <w:tab w:val="left" w:pos="567"/>
          <w:tab w:val="left" w:pos="2884"/>
        </w:tabs>
        <w:autoSpaceDE w:val="0"/>
        <w:autoSpaceDN w:val="0"/>
        <w:spacing w:before="130" w:after="0" w:line="240" w:lineRule="auto"/>
        <w:ind w:left="851" w:hanging="871"/>
        <w:contextualSpacing w:val="0"/>
        <w:rPr>
          <w:rFonts w:cstheme="minorHAnsi"/>
        </w:rPr>
      </w:pPr>
      <w:r>
        <w:rPr>
          <w:rFonts w:cstheme="minorHAnsi"/>
        </w:rPr>
        <w:t>Recursos</w:t>
      </w:r>
      <w:r>
        <w:rPr>
          <w:rFonts w:cstheme="minorHAnsi"/>
          <w:spacing w:val="-19"/>
        </w:rPr>
        <w:t xml:space="preserve"> </w:t>
      </w:r>
      <w:r>
        <w:rPr>
          <w:rFonts w:cstheme="minorHAnsi"/>
        </w:rPr>
        <w:t xml:space="preserve">Humanos, </w:t>
      </w:r>
      <w:r>
        <w:rPr>
          <w:rFonts w:cstheme="minorHAnsi"/>
          <w:spacing w:val="2"/>
        </w:rPr>
        <w:t>Materiais</w:t>
      </w:r>
      <w:r>
        <w:rPr>
          <w:rFonts w:cstheme="minorHAnsi"/>
          <w:spacing w:val="-19"/>
        </w:rPr>
        <w:t xml:space="preserve"> </w:t>
      </w:r>
      <w:r>
        <w:rPr>
          <w:rFonts w:cstheme="minorHAnsi"/>
        </w:rPr>
        <w:t>e</w:t>
      </w:r>
      <w:r>
        <w:rPr>
          <w:rFonts w:cstheme="minorHAnsi"/>
          <w:spacing w:val="-16"/>
        </w:rPr>
        <w:t xml:space="preserve"> </w:t>
      </w:r>
      <w:r>
        <w:rPr>
          <w:rFonts w:cstheme="minorHAnsi"/>
        </w:rPr>
        <w:t>Logísticos</w:t>
      </w:r>
      <w:r>
        <w:rPr>
          <w:rFonts w:cstheme="minorHAnsi"/>
          <w:spacing w:val="-19"/>
        </w:rPr>
        <w:t xml:space="preserve"> </w:t>
      </w:r>
      <w:r>
        <w:rPr>
          <w:rFonts w:cstheme="minorHAnsi"/>
        </w:rPr>
        <w:t>à</w:t>
      </w:r>
      <w:r>
        <w:rPr>
          <w:rFonts w:cstheme="minorHAnsi"/>
          <w:spacing w:val="-14"/>
        </w:rPr>
        <w:t xml:space="preserve"> </w:t>
      </w:r>
      <w:r>
        <w:rPr>
          <w:rFonts w:cstheme="minorHAnsi"/>
        </w:rPr>
        <w:t>emergência</w:t>
      </w:r>
      <w:r>
        <w:rPr>
          <w:rFonts w:cstheme="minorHAnsi"/>
          <w:spacing w:val="-13"/>
        </w:rPr>
        <w:t xml:space="preserve"> </w:t>
      </w:r>
      <w:r>
        <w:rPr>
          <w:rFonts w:cstheme="minorHAnsi"/>
        </w:rPr>
        <w:t>da</w:t>
      </w:r>
      <w:r>
        <w:rPr>
          <w:rFonts w:cstheme="minorHAnsi"/>
          <w:spacing w:val="-1"/>
        </w:rPr>
        <w:t xml:space="preserve"> </w:t>
      </w:r>
      <w:r>
        <w:rPr>
          <w:rFonts w:cstheme="minorHAnsi"/>
        </w:rPr>
        <w:t>barragem</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spacing w:val="2"/>
        </w:rPr>
        <w:t>Síntese</w:t>
      </w:r>
      <w:r>
        <w:rPr>
          <w:rFonts w:cstheme="minorHAnsi"/>
          <w:spacing w:val="-13"/>
        </w:rPr>
        <w:t xml:space="preserve"> </w:t>
      </w:r>
      <w:r>
        <w:rPr>
          <w:rFonts w:cstheme="minorHAnsi"/>
        </w:rPr>
        <w:t>do</w:t>
      </w:r>
      <w:r>
        <w:rPr>
          <w:rFonts w:cstheme="minorHAnsi"/>
          <w:spacing w:val="-4"/>
        </w:rPr>
        <w:t xml:space="preserve"> </w:t>
      </w:r>
      <w:r>
        <w:rPr>
          <w:rFonts w:cstheme="minorHAnsi"/>
        </w:rPr>
        <w:t>estudo</w:t>
      </w:r>
      <w:r>
        <w:rPr>
          <w:rFonts w:cstheme="minorHAnsi"/>
          <w:spacing w:val="-20"/>
        </w:rPr>
        <w:t xml:space="preserve"> </w:t>
      </w:r>
      <w:r>
        <w:rPr>
          <w:rFonts w:cstheme="minorHAnsi"/>
        </w:rPr>
        <w:t>de</w:t>
      </w:r>
      <w:r>
        <w:rPr>
          <w:rFonts w:cstheme="minorHAnsi"/>
          <w:spacing w:val="-12"/>
        </w:rPr>
        <w:t xml:space="preserve"> </w:t>
      </w:r>
      <w:r>
        <w:rPr>
          <w:rFonts w:cstheme="minorHAnsi"/>
        </w:rPr>
        <w:t>inundação</w:t>
      </w:r>
      <w:r>
        <w:rPr>
          <w:rFonts w:cstheme="minorHAnsi"/>
          <w:spacing w:val="-19"/>
        </w:rPr>
        <w:t xml:space="preserve"> </w:t>
      </w:r>
      <w:r>
        <w:rPr>
          <w:rFonts w:cstheme="minorHAnsi"/>
        </w:rPr>
        <w:t>e</w:t>
      </w:r>
      <w:r>
        <w:rPr>
          <w:rFonts w:cstheme="minorHAnsi"/>
          <w:spacing w:val="2"/>
        </w:rPr>
        <w:t xml:space="preserve"> </w:t>
      </w:r>
      <w:r>
        <w:rPr>
          <w:rFonts w:cstheme="minorHAnsi"/>
        </w:rPr>
        <w:t>respectivos</w:t>
      </w:r>
      <w:r>
        <w:rPr>
          <w:rFonts w:cstheme="minorHAnsi"/>
          <w:spacing w:val="-14"/>
        </w:rPr>
        <w:t xml:space="preserve"> </w:t>
      </w:r>
      <w:r>
        <w:rPr>
          <w:rFonts w:cstheme="minorHAnsi"/>
        </w:rPr>
        <w:t>mapas</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Modelagem da cheia de</w:t>
      </w:r>
      <w:r>
        <w:rPr>
          <w:rFonts w:cstheme="minorHAnsi"/>
          <w:spacing w:val="-37"/>
        </w:rPr>
        <w:t xml:space="preserve"> </w:t>
      </w:r>
      <w:r>
        <w:rPr>
          <w:rFonts w:cstheme="minorHAnsi"/>
        </w:rPr>
        <w:t>ruptura</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Critérios</w:t>
      </w:r>
      <w:r>
        <w:rPr>
          <w:rFonts w:cstheme="minorHAnsi"/>
          <w:spacing w:val="-1"/>
        </w:rPr>
        <w:t xml:space="preserve"> </w:t>
      </w:r>
      <w:r>
        <w:rPr>
          <w:rFonts w:cstheme="minorHAnsi"/>
        </w:rPr>
        <w:t>e</w:t>
      </w:r>
      <w:r>
        <w:rPr>
          <w:rFonts w:cstheme="minorHAnsi"/>
          <w:spacing w:val="-14"/>
        </w:rPr>
        <w:t xml:space="preserve"> </w:t>
      </w:r>
      <w:r>
        <w:rPr>
          <w:rFonts w:cstheme="minorHAnsi"/>
        </w:rPr>
        <w:t>cenários</w:t>
      </w:r>
      <w:r>
        <w:rPr>
          <w:rFonts w:cstheme="minorHAnsi"/>
          <w:spacing w:val="-15"/>
        </w:rPr>
        <w:t xml:space="preserve"> </w:t>
      </w:r>
      <w:r>
        <w:rPr>
          <w:rFonts w:cstheme="minorHAnsi"/>
        </w:rPr>
        <w:t>de</w:t>
      </w:r>
      <w:r>
        <w:rPr>
          <w:rFonts w:cstheme="minorHAnsi"/>
          <w:spacing w:val="1"/>
        </w:rPr>
        <w:t xml:space="preserve"> </w:t>
      </w:r>
      <w:r>
        <w:rPr>
          <w:rFonts w:cstheme="minorHAnsi"/>
        </w:rPr>
        <w:t>modelagem</w:t>
      </w:r>
      <w:r>
        <w:rPr>
          <w:rFonts w:cstheme="minorHAnsi"/>
          <w:spacing w:val="-22"/>
        </w:rPr>
        <w:t xml:space="preserve"> </w:t>
      </w:r>
      <w:r>
        <w:rPr>
          <w:rFonts w:cstheme="minorHAnsi"/>
        </w:rPr>
        <w:t>da</w:t>
      </w:r>
      <w:r>
        <w:rPr>
          <w:rFonts w:cstheme="minorHAnsi"/>
          <w:spacing w:val="4"/>
        </w:rPr>
        <w:t xml:space="preserve"> </w:t>
      </w:r>
      <w:r>
        <w:rPr>
          <w:rFonts w:cstheme="minorHAnsi"/>
        </w:rPr>
        <w:t>cheia</w:t>
      </w:r>
      <w:r>
        <w:rPr>
          <w:rFonts w:cstheme="minorHAnsi"/>
          <w:spacing w:val="-11"/>
        </w:rPr>
        <w:t xml:space="preserve"> </w:t>
      </w:r>
      <w:r>
        <w:rPr>
          <w:rFonts w:cstheme="minorHAnsi"/>
        </w:rPr>
        <w:t>de</w:t>
      </w:r>
      <w:r>
        <w:rPr>
          <w:rFonts w:cstheme="minorHAnsi"/>
          <w:spacing w:val="-13"/>
        </w:rPr>
        <w:t xml:space="preserve"> </w:t>
      </w:r>
      <w:r>
        <w:rPr>
          <w:rFonts w:cstheme="minorHAnsi"/>
        </w:rPr>
        <w:t>ruptura</w:t>
      </w:r>
    </w:p>
    <w:p>
      <w:pPr>
        <w:pStyle w:val="19"/>
        <w:widowControl w:val="0"/>
        <w:numPr>
          <w:ilvl w:val="1"/>
          <w:numId w:val="27"/>
        </w:numPr>
        <w:tabs>
          <w:tab w:val="left" w:pos="567"/>
          <w:tab w:val="left" w:pos="2884"/>
        </w:tabs>
        <w:autoSpaceDE w:val="0"/>
        <w:autoSpaceDN w:val="0"/>
        <w:spacing w:before="83" w:after="0" w:line="240" w:lineRule="auto"/>
        <w:ind w:left="851" w:hanging="360"/>
        <w:contextualSpacing w:val="0"/>
        <w:rPr>
          <w:rFonts w:cstheme="minorHAnsi"/>
        </w:rPr>
      </w:pPr>
      <w:r>
        <w:rPr>
          <w:rFonts w:cstheme="minorHAnsi"/>
          <w:spacing w:val="3"/>
        </w:rPr>
        <w:t>Vale</w:t>
      </w:r>
      <w:r>
        <w:rPr>
          <w:rFonts w:cstheme="minorHAnsi"/>
          <w:spacing w:val="-14"/>
        </w:rPr>
        <w:t xml:space="preserve"> </w:t>
      </w:r>
      <w:r>
        <w:rPr>
          <w:rFonts w:cstheme="minorHAnsi"/>
        </w:rPr>
        <w:t>a</w:t>
      </w:r>
      <w:r>
        <w:rPr>
          <w:rFonts w:cstheme="minorHAnsi"/>
          <w:spacing w:val="-10"/>
        </w:rPr>
        <w:t xml:space="preserve"> </w:t>
      </w:r>
      <w:r>
        <w:rPr>
          <w:rFonts w:cstheme="minorHAnsi"/>
          <w:spacing w:val="2"/>
        </w:rPr>
        <w:t>jusante</w:t>
      </w:r>
      <w:r>
        <w:rPr>
          <w:rFonts w:cstheme="minorHAnsi"/>
          <w:spacing w:val="-13"/>
        </w:rPr>
        <w:t xml:space="preserve"> </w:t>
      </w:r>
      <w:r>
        <w:rPr>
          <w:rFonts w:cstheme="minorHAnsi"/>
        </w:rPr>
        <w:t>e</w:t>
      </w:r>
      <w:r>
        <w:rPr>
          <w:rFonts w:cstheme="minorHAnsi"/>
          <w:spacing w:val="-13"/>
        </w:rPr>
        <w:t xml:space="preserve"> </w:t>
      </w:r>
      <w:r>
        <w:rPr>
          <w:rFonts w:cstheme="minorHAnsi"/>
        </w:rPr>
        <w:t>definição</w:t>
      </w:r>
      <w:r>
        <w:rPr>
          <w:rFonts w:cstheme="minorHAnsi"/>
          <w:spacing w:val="-20"/>
        </w:rPr>
        <w:t xml:space="preserve"> </w:t>
      </w:r>
      <w:r>
        <w:rPr>
          <w:rFonts w:cstheme="minorHAnsi"/>
        </w:rPr>
        <w:t>de</w:t>
      </w:r>
      <w:r>
        <w:rPr>
          <w:rFonts w:cstheme="minorHAnsi"/>
          <w:spacing w:val="1"/>
        </w:rPr>
        <w:t xml:space="preserve"> </w:t>
      </w:r>
      <w:r>
        <w:rPr>
          <w:rFonts w:cstheme="minorHAnsi"/>
        </w:rPr>
        <w:t>zonas</w:t>
      </w:r>
      <w:r>
        <w:rPr>
          <w:rFonts w:cstheme="minorHAnsi"/>
          <w:spacing w:val="-15"/>
        </w:rPr>
        <w:t xml:space="preserve"> </w:t>
      </w:r>
      <w:r>
        <w:rPr>
          <w:rFonts w:cstheme="minorHAnsi"/>
        </w:rPr>
        <w:t>de</w:t>
      </w:r>
      <w:r>
        <w:rPr>
          <w:rFonts w:cstheme="minorHAnsi"/>
          <w:spacing w:val="1"/>
        </w:rPr>
        <w:t xml:space="preserve"> </w:t>
      </w:r>
      <w:r>
        <w:rPr>
          <w:rFonts w:cstheme="minorHAnsi"/>
          <w:spacing w:val="3"/>
        </w:rPr>
        <w:t>auto</w:t>
      </w:r>
      <w:r>
        <w:rPr>
          <w:rFonts w:cstheme="minorHAnsi"/>
          <w:spacing w:val="-12"/>
        </w:rPr>
        <w:t xml:space="preserve"> </w:t>
      </w:r>
      <w:r>
        <w:rPr>
          <w:rFonts w:cstheme="minorHAnsi"/>
          <w:spacing w:val="2"/>
        </w:rPr>
        <w:t>salvamento</w:t>
      </w:r>
    </w:p>
    <w:p>
      <w:pPr>
        <w:pStyle w:val="19"/>
        <w:widowControl w:val="0"/>
        <w:numPr>
          <w:ilvl w:val="2"/>
          <w:numId w:val="27"/>
        </w:numPr>
        <w:tabs>
          <w:tab w:val="left" w:pos="567"/>
          <w:tab w:val="left" w:pos="3605"/>
        </w:tabs>
        <w:autoSpaceDE w:val="0"/>
        <w:autoSpaceDN w:val="0"/>
        <w:spacing w:before="129" w:after="0" w:line="240" w:lineRule="auto"/>
        <w:ind w:left="1134" w:hanging="283"/>
        <w:contextualSpacing w:val="0"/>
        <w:rPr>
          <w:rFonts w:cstheme="minorHAnsi"/>
        </w:rPr>
      </w:pPr>
      <w:r>
        <w:rPr>
          <w:rFonts w:cstheme="minorHAnsi"/>
        </w:rPr>
        <w:t>Resultados</w:t>
      </w:r>
      <w:r>
        <w:rPr>
          <w:rFonts w:cstheme="minorHAnsi"/>
          <w:spacing w:val="-29"/>
        </w:rPr>
        <w:t xml:space="preserve"> </w:t>
      </w:r>
      <w:r>
        <w:rPr>
          <w:rFonts w:cstheme="minorHAnsi"/>
        </w:rPr>
        <w:t>e</w:t>
      </w:r>
      <w:r>
        <w:rPr>
          <w:rFonts w:cstheme="minorHAnsi"/>
          <w:spacing w:val="-28"/>
        </w:rPr>
        <w:t xml:space="preserve"> </w:t>
      </w:r>
      <w:r>
        <w:rPr>
          <w:rFonts w:cstheme="minorHAnsi"/>
        </w:rPr>
        <w:t>mapa</w:t>
      </w:r>
      <w:r>
        <w:rPr>
          <w:rFonts w:cstheme="minorHAnsi"/>
          <w:spacing w:val="-25"/>
        </w:rPr>
        <w:t xml:space="preserve"> </w:t>
      </w:r>
      <w:r>
        <w:rPr>
          <w:rFonts w:cstheme="minorHAnsi"/>
        </w:rPr>
        <w:t>de</w:t>
      </w:r>
      <w:r>
        <w:rPr>
          <w:rFonts w:cstheme="minorHAnsi"/>
          <w:spacing w:val="-18"/>
        </w:rPr>
        <w:t xml:space="preserve"> </w:t>
      </w:r>
      <w:r>
        <w:rPr>
          <w:rFonts w:cstheme="minorHAnsi"/>
        </w:rPr>
        <w:t>inundação</w:t>
      </w:r>
    </w:p>
    <w:p>
      <w:pPr>
        <w:pStyle w:val="19"/>
        <w:widowControl w:val="0"/>
        <w:numPr>
          <w:ilvl w:val="2"/>
          <w:numId w:val="27"/>
        </w:numPr>
        <w:tabs>
          <w:tab w:val="left" w:pos="567"/>
          <w:tab w:val="left" w:pos="3605"/>
        </w:tabs>
        <w:autoSpaceDE w:val="0"/>
        <w:autoSpaceDN w:val="0"/>
        <w:spacing w:before="130" w:after="0" w:line="240" w:lineRule="auto"/>
        <w:ind w:left="1134" w:hanging="283"/>
        <w:contextualSpacing w:val="0"/>
        <w:rPr>
          <w:rFonts w:cstheme="minorHAnsi"/>
        </w:rPr>
      </w:pPr>
      <w:r>
        <w:rPr>
          <w:rFonts w:cstheme="minorHAnsi"/>
          <w:spacing w:val="2"/>
          <w:w w:val="95"/>
        </w:rPr>
        <w:t xml:space="preserve">Caracterização </w:t>
      </w:r>
      <w:r>
        <w:rPr>
          <w:rFonts w:cstheme="minorHAnsi"/>
          <w:w w:val="95"/>
        </w:rPr>
        <w:t xml:space="preserve">do </w:t>
      </w:r>
      <w:r>
        <w:rPr>
          <w:rFonts w:cstheme="minorHAnsi"/>
          <w:spacing w:val="4"/>
          <w:w w:val="95"/>
        </w:rPr>
        <w:t xml:space="preserve">vale </w:t>
      </w:r>
      <w:r>
        <w:rPr>
          <w:rFonts w:cstheme="minorHAnsi"/>
          <w:w w:val="95"/>
        </w:rPr>
        <w:t>a</w:t>
      </w:r>
      <w:r>
        <w:rPr>
          <w:rFonts w:cstheme="minorHAnsi"/>
          <w:spacing w:val="-40"/>
          <w:w w:val="95"/>
        </w:rPr>
        <w:t xml:space="preserve"> </w:t>
      </w:r>
      <w:r>
        <w:rPr>
          <w:rFonts w:cstheme="minorHAnsi"/>
          <w:spacing w:val="2"/>
          <w:w w:val="95"/>
        </w:rPr>
        <w:t>jusante</w:t>
      </w:r>
    </w:p>
    <w:p>
      <w:pPr>
        <w:pStyle w:val="19"/>
        <w:widowControl w:val="0"/>
        <w:numPr>
          <w:ilvl w:val="2"/>
          <w:numId w:val="27"/>
        </w:numPr>
        <w:tabs>
          <w:tab w:val="left" w:pos="567"/>
          <w:tab w:val="left" w:pos="3605"/>
        </w:tabs>
        <w:autoSpaceDE w:val="0"/>
        <w:autoSpaceDN w:val="0"/>
        <w:spacing w:before="129" w:after="0" w:line="240" w:lineRule="auto"/>
        <w:ind w:left="1134" w:hanging="283"/>
        <w:contextualSpacing w:val="0"/>
        <w:rPr>
          <w:rFonts w:cstheme="minorHAnsi"/>
        </w:rPr>
      </w:pPr>
      <w:r>
        <w:rPr>
          <w:rFonts w:cstheme="minorHAnsi"/>
          <w:spacing w:val="2"/>
        </w:rPr>
        <w:t>Caracterização</w:t>
      </w:r>
      <w:r>
        <w:rPr>
          <w:rFonts w:cstheme="minorHAnsi"/>
          <w:spacing w:val="-20"/>
        </w:rPr>
        <w:t xml:space="preserve"> </w:t>
      </w:r>
      <w:r>
        <w:rPr>
          <w:rFonts w:cstheme="minorHAnsi"/>
        </w:rPr>
        <w:t>da</w:t>
      </w:r>
      <w:r>
        <w:rPr>
          <w:rFonts w:cstheme="minorHAnsi"/>
          <w:spacing w:val="-10"/>
        </w:rPr>
        <w:t xml:space="preserve"> </w:t>
      </w:r>
      <w:r>
        <w:rPr>
          <w:rFonts w:cstheme="minorHAnsi"/>
        </w:rPr>
        <w:t>zona</w:t>
      </w:r>
      <w:r>
        <w:rPr>
          <w:rFonts w:cstheme="minorHAnsi"/>
          <w:spacing w:val="-10"/>
        </w:rPr>
        <w:t xml:space="preserve"> </w:t>
      </w:r>
      <w:r>
        <w:rPr>
          <w:rFonts w:cstheme="minorHAnsi"/>
        </w:rPr>
        <w:t>de</w:t>
      </w:r>
      <w:r>
        <w:rPr>
          <w:rFonts w:cstheme="minorHAnsi"/>
          <w:spacing w:val="-12"/>
        </w:rPr>
        <w:t xml:space="preserve"> </w:t>
      </w:r>
      <w:r>
        <w:rPr>
          <w:rFonts w:cstheme="minorHAnsi"/>
          <w:spacing w:val="3"/>
        </w:rPr>
        <w:t>auto</w:t>
      </w:r>
      <w:r>
        <w:rPr>
          <w:rFonts w:cstheme="minorHAnsi"/>
          <w:spacing w:val="-13"/>
        </w:rPr>
        <w:t xml:space="preserve"> </w:t>
      </w:r>
      <w:r>
        <w:rPr>
          <w:rFonts w:cstheme="minorHAnsi"/>
          <w:spacing w:val="2"/>
        </w:rPr>
        <w:t>salvamento</w:t>
      </w:r>
    </w:p>
    <w:p>
      <w:pPr>
        <w:pStyle w:val="19"/>
        <w:widowControl w:val="0"/>
        <w:numPr>
          <w:ilvl w:val="0"/>
          <w:numId w:val="27"/>
        </w:numPr>
        <w:tabs>
          <w:tab w:val="left" w:pos="567"/>
          <w:tab w:val="left" w:pos="2884"/>
        </w:tabs>
        <w:autoSpaceDE w:val="0"/>
        <w:autoSpaceDN w:val="0"/>
        <w:spacing w:before="130" w:after="0" w:line="240" w:lineRule="auto"/>
        <w:ind w:left="851" w:hanging="871"/>
        <w:contextualSpacing w:val="0"/>
        <w:rPr>
          <w:rFonts w:cstheme="minorHAnsi"/>
        </w:rPr>
      </w:pPr>
      <w:r>
        <w:rPr>
          <w:rFonts w:cstheme="minorHAnsi"/>
        </w:rPr>
        <w:t>Divulgação, treinamento e atualização do PAE</w:t>
      </w:r>
    </w:p>
    <w:p>
      <w:pPr>
        <w:pStyle w:val="19"/>
        <w:widowControl w:val="0"/>
        <w:numPr>
          <w:ilvl w:val="0"/>
          <w:numId w:val="27"/>
        </w:numPr>
        <w:tabs>
          <w:tab w:val="left" w:pos="567"/>
          <w:tab w:val="left" w:pos="2884"/>
        </w:tabs>
        <w:autoSpaceDE w:val="0"/>
        <w:autoSpaceDN w:val="0"/>
        <w:spacing w:before="130" w:after="0" w:line="240" w:lineRule="auto"/>
        <w:ind w:left="851" w:hanging="871"/>
        <w:contextualSpacing w:val="0"/>
        <w:rPr>
          <w:rFonts w:cstheme="minorHAnsi"/>
        </w:rPr>
      </w:pPr>
      <w:r>
        <w:rPr>
          <w:rFonts w:cstheme="minorHAnsi"/>
        </w:rPr>
        <w:t xml:space="preserve">Encerramento </w:t>
      </w:r>
      <w:r>
        <w:rPr>
          <w:rFonts w:cstheme="minorHAnsi"/>
          <w:spacing w:val="2"/>
        </w:rPr>
        <w:t>das</w:t>
      </w:r>
      <w:r>
        <w:rPr>
          <w:rFonts w:cstheme="minorHAnsi"/>
          <w:spacing w:val="-17"/>
        </w:rPr>
        <w:t xml:space="preserve"> </w:t>
      </w:r>
      <w:r>
        <w:rPr>
          <w:rFonts w:cstheme="minorHAnsi"/>
        </w:rPr>
        <w:t>operações</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Glossário</w:t>
      </w:r>
    </w:p>
    <w:p>
      <w:pPr>
        <w:pStyle w:val="19"/>
        <w:widowControl w:val="0"/>
        <w:numPr>
          <w:ilvl w:val="0"/>
          <w:numId w:val="27"/>
        </w:numPr>
        <w:tabs>
          <w:tab w:val="left" w:pos="567"/>
          <w:tab w:val="left" w:pos="2884"/>
        </w:tabs>
        <w:autoSpaceDE w:val="0"/>
        <w:autoSpaceDN w:val="0"/>
        <w:spacing w:before="129" w:after="0" w:line="240" w:lineRule="auto"/>
        <w:ind w:left="851" w:hanging="871"/>
        <w:contextualSpacing w:val="0"/>
        <w:rPr>
          <w:rFonts w:cstheme="minorHAnsi"/>
        </w:rPr>
      </w:pPr>
      <w:r>
        <w:rPr>
          <w:rFonts w:cstheme="minorHAnsi"/>
        </w:rPr>
        <w:t>Apêndices</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spacing w:val="2"/>
        </w:rPr>
        <w:t>Listas</w:t>
      </w:r>
      <w:r>
        <w:rPr>
          <w:rFonts w:cstheme="minorHAnsi"/>
          <w:spacing w:val="-14"/>
        </w:rPr>
        <w:t xml:space="preserve"> </w:t>
      </w:r>
      <w:r>
        <w:rPr>
          <w:rFonts w:cstheme="minorHAnsi"/>
        </w:rPr>
        <w:t>de</w:t>
      </w:r>
      <w:r>
        <w:rPr>
          <w:rFonts w:cstheme="minorHAnsi"/>
          <w:spacing w:val="-12"/>
        </w:rPr>
        <w:t xml:space="preserve"> </w:t>
      </w:r>
      <w:r>
        <w:rPr>
          <w:rFonts w:cstheme="minorHAnsi"/>
        </w:rPr>
        <w:t>Contatos</w:t>
      </w:r>
      <w:r>
        <w:rPr>
          <w:rFonts w:cstheme="minorHAnsi"/>
          <w:spacing w:val="1"/>
        </w:rPr>
        <w:t xml:space="preserve"> </w:t>
      </w:r>
      <w:r>
        <w:rPr>
          <w:rFonts w:cstheme="minorHAnsi"/>
        </w:rPr>
        <w:t>para</w:t>
      </w:r>
      <w:r>
        <w:rPr>
          <w:rFonts w:cstheme="minorHAnsi"/>
          <w:spacing w:val="-9"/>
        </w:rPr>
        <w:t xml:space="preserve"> </w:t>
      </w:r>
      <w:r>
        <w:rPr>
          <w:rFonts w:cstheme="minorHAnsi"/>
        </w:rPr>
        <w:t>Notificação</w:t>
      </w:r>
      <w:r>
        <w:rPr>
          <w:rFonts w:cstheme="minorHAnsi"/>
          <w:spacing w:val="-19"/>
        </w:rPr>
        <w:t xml:space="preserve"> </w:t>
      </w:r>
      <w:r>
        <w:rPr>
          <w:rFonts w:cstheme="minorHAnsi"/>
        </w:rPr>
        <w:t>PAE</w:t>
      </w:r>
    </w:p>
    <w:p>
      <w:pPr>
        <w:pStyle w:val="19"/>
        <w:widowControl w:val="0"/>
        <w:numPr>
          <w:ilvl w:val="1"/>
          <w:numId w:val="27"/>
        </w:numPr>
        <w:tabs>
          <w:tab w:val="left" w:pos="567"/>
          <w:tab w:val="left" w:pos="2884"/>
        </w:tabs>
        <w:autoSpaceDE w:val="0"/>
        <w:autoSpaceDN w:val="0"/>
        <w:spacing w:before="129" w:after="0" w:line="240" w:lineRule="auto"/>
        <w:ind w:left="851" w:hanging="360"/>
        <w:contextualSpacing w:val="0"/>
        <w:rPr>
          <w:rFonts w:cstheme="minorHAnsi"/>
        </w:rPr>
      </w:pPr>
      <w:r>
        <w:rPr>
          <w:rFonts w:cstheme="minorHAnsi"/>
        </w:rPr>
        <w:t>Formulários</w:t>
      </w:r>
    </w:p>
    <w:p>
      <w:pPr>
        <w:pStyle w:val="19"/>
        <w:widowControl w:val="0"/>
        <w:numPr>
          <w:ilvl w:val="2"/>
          <w:numId w:val="27"/>
        </w:numPr>
        <w:tabs>
          <w:tab w:val="left" w:pos="567"/>
          <w:tab w:val="left" w:pos="3605"/>
        </w:tabs>
        <w:autoSpaceDE w:val="0"/>
        <w:autoSpaceDN w:val="0"/>
        <w:spacing w:before="129" w:after="0" w:line="240" w:lineRule="auto"/>
        <w:ind w:left="1134" w:hanging="283"/>
        <w:contextualSpacing w:val="0"/>
        <w:rPr>
          <w:rFonts w:cstheme="minorHAnsi"/>
        </w:rPr>
      </w:pPr>
      <w:r>
        <w:rPr>
          <w:rFonts w:cstheme="minorHAnsi"/>
          <w:spacing w:val="2"/>
        </w:rPr>
        <w:t>Declaração</w:t>
      </w:r>
      <w:r>
        <w:rPr>
          <w:rFonts w:cstheme="minorHAnsi"/>
          <w:spacing w:val="-20"/>
        </w:rPr>
        <w:t xml:space="preserve"> </w:t>
      </w:r>
      <w:r>
        <w:rPr>
          <w:rFonts w:cstheme="minorHAnsi"/>
        </w:rPr>
        <w:t>de</w:t>
      </w:r>
      <w:r>
        <w:rPr>
          <w:rFonts w:cstheme="minorHAnsi"/>
          <w:spacing w:val="-12"/>
        </w:rPr>
        <w:t xml:space="preserve"> </w:t>
      </w:r>
      <w:r>
        <w:rPr>
          <w:rFonts w:cstheme="minorHAnsi"/>
          <w:spacing w:val="2"/>
        </w:rPr>
        <w:t>início</w:t>
      </w:r>
      <w:r>
        <w:rPr>
          <w:rFonts w:cstheme="minorHAnsi"/>
          <w:spacing w:val="-20"/>
        </w:rPr>
        <w:t xml:space="preserve"> </w:t>
      </w:r>
      <w:r>
        <w:rPr>
          <w:rFonts w:cstheme="minorHAnsi"/>
        </w:rPr>
        <w:t>de</w:t>
      </w:r>
      <w:r>
        <w:rPr>
          <w:rFonts w:cstheme="minorHAnsi"/>
          <w:spacing w:val="-12"/>
        </w:rPr>
        <w:t xml:space="preserve"> </w:t>
      </w:r>
      <w:r>
        <w:rPr>
          <w:rFonts w:cstheme="minorHAnsi"/>
        </w:rPr>
        <w:t>emergência</w:t>
      </w:r>
    </w:p>
    <w:p>
      <w:pPr>
        <w:pStyle w:val="19"/>
        <w:widowControl w:val="0"/>
        <w:numPr>
          <w:ilvl w:val="2"/>
          <w:numId w:val="27"/>
        </w:numPr>
        <w:tabs>
          <w:tab w:val="left" w:pos="567"/>
          <w:tab w:val="left" w:pos="3605"/>
        </w:tabs>
        <w:autoSpaceDE w:val="0"/>
        <w:autoSpaceDN w:val="0"/>
        <w:spacing w:before="130" w:after="0" w:line="240" w:lineRule="auto"/>
        <w:ind w:left="1134" w:hanging="283"/>
        <w:contextualSpacing w:val="0"/>
        <w:rPr>
          <w:rFonts w:cstheme="minorHAnsi"/>
        </w:rPr>
      </w:pPr>
      <w:r>
        <w:rPr>
          <w:rFonts w:cstheme="minorHAnsi"/>
          <w:spacing w:val="2"/>
        </w:rPr>
        <w:t>Declaração</w:t>
      </w:r>
      <w:r>
        <w:rPr>
          <w:rFonts w:cstheme="minorHAnsi"/>
          <w:spacing w:val="-20"/>
        </w:rPr>
        <w:t xml:space="preserve"> </w:t>
      </w:r>
      <w:r>
        <w:rPr>
          <w:rFonts w:cstheme="minorHAnsi"/>
        </w:rPr>
        <w:t>de</w:t>
      </w:r>
      <w:r>
        <w:rPr>
          <w:rFonts w:cstheme="minorHAnsi"/>
          <w:spacing w:val="-13"/>
        </w:rPr>
        <w:t xml:space="preserve"> </w:t>
      </w:r>
      <w:r>
        <w:rPr>
          <w:rFonts w:cstheme="minorHAnsi"/>
        </w:rPr>
        <w:t>encerramento</w:t>
      </w:r>
      <w:r>
        <w:rPr>
          <w:rFonts w:cstheme="minorHAnsi"/>
          <w:spacing w:val="-19"/>
        </w:rPr>
        <w:t xml:space="preserve"> </w:t>
      </w:r>
      <w:r>
        <w:rPr>
          <w:rFonts w:cstheme="minorHAnsi"/>
        </w:rPr>
        <w:t>de</w:t>
      </w:r>
      <w:r>
        <w:rPr>
          <w:rFonts w:cstheme="minorHAnsi"/>
          <w:spacing w:val="2"/>
        </w:rPr>
        <w:t xml:space="preserve"> </w:t>
      </w:r>
      <w:r>
        <w:rPr>
          <w:rFonts w:cstheme="minorHAnsi"/>
        </w:rPr>
        <w:t>emergência</w:t>
      </w:r>
    </w:p>
    <w:p>
      <w:pPr>
        <w:pStyle w:val="19"/>
        <w:widowControl w:val="0"/>
        <w:numPr>
          <w:ilvl w:val="2"/>
          <w:numId w:val="27"/>
        </w:numPr>
        <w:tabs>
          <w:tab w:val="left" w:pos="567"/>
          <w:tab w:val="left" w:pos="3605"/>
        </w:tabs>
        <w:autoSpaceDE w:val="0"/>
        <w:autoSpaceDN w:val="0"/>
        <w:spacing w:before="129" w:after="0" w:line="240" w:lineRule="auto"/>
        <w:ind w:left="1134" w:hanging="283"/>
        <w:contextualSpacing w:val="0"/>
        <w:rPr>
          <w:rFonts w:cstheme="minorHAnsi"/>
        </w:rPr>
      </w:pPr>
      <w:r>
        <w:rPr>
          <w:rFonts w:cstheme="minorHAnsi"/>
        </w:rPr>
        <w:t>Mensagens de</w:t>
      </w:r>
      <w:r>
        <w:rPr>
          <w:rFonts w:cstheme="minorHAnsi"/>
          <w:spacing w:val="-12"/>
        </w:rPr>
        <w:t xml:space="preserve"> </w:t>
      </w:r>
      <w:r>
        <w:rPr>
          <w:rFonts w:cstheme="minorHAnsi"/>
          <w:spacing w:val="2"/>
        </w:rPr>
        <w:t>notificação</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Controle de revisões</w:t>
      </w:r>
    </w:p>
    <w:p>
      <w:pPr>
        <w:pStyle w:val="19"/>
        <w:widowControl w:val="0"/>
        <w:numPr>
          <w:ilvl w:val="1"/>
          <w:numId w:val="27"/>
        </w:numPr>
        <w:tabs>
          <w:tab w:val="left" w:pos="567"/>
          <w:tab w:val="left" w:pos="2884"/>
        </w:tabs>
        <w:autoSpaceDE w:val="0"/>
        <w:autoSpaceDN w:val="0"/>
        <w:spacing w:before="130" w:after="0" w:line="240" w:lineRule="auto"/>
        <w:ind w:left="851" w:hanging="360"/>
        <w:contextualSpacing w:val="0"/>
        <w:rPr>
          <w:rFonts w:cstheme="minorHAnsi"/>
        </w:rPr>
      </w:pPr>
      <w:r>
        <w:rPr>
          <w:rFonts w:cstheme="minorHAnsi"/>
        </w:rPr>
        <w:t>Controle de distribuição</w:t>
      </w:r>
    </w:p>
    <w:p>
      <w:pPr>
        <w:widowControl w:val="0"/>
        <w:tabs>
          <w:tab w:val="left" w:pos="567"/>
          <w:tab w:val="left" w:pos="2884"/>
        </w:tabs>
        <w:autoSpaceDE w:val="0"/>
        <w:autoSpaceDN w:val="0"/>
        <w:spacing w:before="130" w:after="0" w:line="240" w:lineRule="auto"/>
        <w:rPr>
          <w:rFonts w:cstheme="minorHAnsi"/>
        </w:rPr>
      </w:pP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Entrega do PAE para a Defesa Civil</w:t>
      </w:r>
    </w:p>
    <w:p>
      <w:pPr>
        <w:spacing w:after="0" w:line="360" w:lineRule="auto"/>
        <w:jc w:val="both"/>
        <w:rPr>
          <w:rFonts w:cstheme="minorHAnsi"/>
        </w:rPr>
      </w:pPr>
      <w:r>
        <w:rPr>
          <w:rFonts w:cstheme="minorHAnsi"/>
        </w:rPr>
        <w:t>Imediatamente após a conclusão dos estudos de ruptura hipotética da barragem, geração dos mapas de inundação e elaboração do PAE será definido com a CONTRATANTE as pastas que serão disponibilizadas para a Defesa Civil dos municípios impactados.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Plano de Contingência</w:t>
      </w:r>
    </w:p>
    <w:p>
      <w:pPr>
        <w:spacing w:after="0" w:line="360" w:lineRule="auto"/>
        <w:jc w:val="both"/>
        <w:rPr>
          <w:rFonts w:cstheme="minorHAnsi"/>
        </w:rPr>
      </w:pPr>
      <w:r>
        <w:rPr>
          <w:rFonts w:cstheme="minorHAnsi"/>
        </w:rPr>
        <w:t>Será fornecido um Plano de Contingência Interno para os funcionários da barragem estudada, este irá conter informações sobre rotas de fuga, pontos de encontro, responsabilidades, etc.</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Externo</w:t>
      </w:r>
    </w:p>
    <w:p>
      <w:pPr>
        <w:spacing w:after="0" w:line="360" w:lineRule="auto"/>
        <w:jc w:val="both"/>
        <w:rPr>
          <w:rFonts w:cstheme="minorHAnsi"/>
        </w:rPr>
      </w:pPr>
      <w:r>
        <w:rPr>
          <w:rFonts w:cstheme="minorHAnsi"/>
        </w:rPr>
        <w:t>Considerando as diretrizes da Lei Federal 12.608/2012 que trata da Política Nacional de Proteção e Defesa Civil, o Plano de Contingência Externo deverá ser elaborado pelo Empreendedor e submetido à apreciação da Defesa Civil do estado e Município, não descartando a responsabilidade do Empreendedor de instalar Sistemas de Alarmes e Alertas nem de notificar a população na Zona de Auto Salvamento e a Defesa Civil.</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Responsabilidade e Notificação</w:t>
      </w:r>
    </w:p>
    <w:p>
      <w:pPr>
        <w:spacing w:after="0" w:line="360" w:lineRule="auto"/>
        <w:jc w:val="both"/>
        <w:rPr>
          <w:rFonts w:cstheme="minorHAnsi"/>
        </w:rPr>
      </w:pPr>
      <w:r>
        <w:rPr>
          <w:rFonts w:cstheme="minorHAnsi"/>
        </w:rPr>
        <w:t>A responsabilidade pela notificação estará tratada no PAE interno da CIA, no organograma de notificação. A área a jusante de cada barragem é única e os danos potenciais associados podem variar de acordo com sua especificidade. O nível de detalhamento do PAE varia de acordo com o dano potencial associado, com as características do empreendedor, do empreendimento e do vale a jusante.</w:t>
      </w:r>
    </w:p>
    <w:p>
      <w:pPr>
        <w:pStyle w:val="19"/>
        <w:numPr>
          <w:ilvl w:val="0"/>
          <w:numId w:val="26"/>
        </w:numPr>
        <w:tabs>
          <w:tab w:val="left" w:pos="426"/>
        </w:tabs>
        <w:spacing w:before="240" w:after="0" w:line="360" w:lineRule="auto"/>
        <w:ind w:left="425" w:hanging="425"/>
        <w:contextualSpacing w:val="0"/>
        <w:jc w:val="both"/>
        <w:rPr>
          <w:rFonts w:cstheme="minorHAnsi"/>
          <w:b/>
        </w:rPr>
      </w:pPr>
      <w:bookmarkStart w:id="10" w:name="_Hlk3284981"/>
      <w:r>
        <w:rPr>
          <w:rFonts w:cstheme="minorHAnsi"/>
          <w:b/>
        </w:rPr>
        <w:t>Estudo de Rompimento da Barragem e Elaboração dos Mapas de Inundação e Rotas de Fuga</w:t>
      </w:r>
    </w:p>
    <w:p>
      <w:pPr>
        <w:spacing w:after="0" w:line="360" w:lineRule="auto"/>
        <w:jc w:val="both"/>
        <w:rPr>
          <w:rFonts w:cstheme="minorHAnsi"/>
        </w:rPr>
      </w:pPr>
      <w:r>
        <w:rPr>
          <w:rFonts w:cstheme="minorHAnsi"/>
        </w:rPr>
        <w:t>O estudo de rompimento hipotético da barragem é a determinação do mapa de inundação com informações úteis para que os organismos de defesa civil possam elaborar seus planos de contingência para aplicação em caso de emergência.</w:t>
      </w:r>
      <w:bookmarkEnd w:id="10"/>
    </w:p>
    <w:p>
      <w:pPr>
        <w:pStyle w:val="19"/>
        <w:numPr>
          <w:ilvl w:val="0"/>
          <w:numId w:val="26"/>
        </w:numPr>
        <w:tabs>
          <w:tab w:val="left" w:pos="426"/>
        </w:tabs>
        <w:spacing w:before="240" w:after="0" w:line="360" w:lineRule="auto"/>
        <w:ind w:left="425" w:hanging="425"/>
        <w:contextualSpacing w:val="0"/>
        <w:jc w:val="both"/>
        <w:rPr>
          <w:rFonts w:cstheme="minorHAnsi"/>
          <w:b/>
        </w:rPr>
      </w:pPr>
      <w:bookmarkStart w:id="11" w:name="_Hlk3285006"/>
      <w:r>
        <w:rPr>
          <w:rFonts w:cstheme="minorHAnsi"/>
          <w:b/>
        </w:rPr>
        <w:t>Estudo Hidrológico</w:t>
      </w:r>
    </w:p>
    <w:p>
      <w:pPr>
        <w:spacing w:after="0" w:line="360" w:lineRule="auto"/>
        <w:jc w:val="both"/>
        <w:rPr>
          <w:rFonts w:cstheme="minorHAnsi"/>
        </w:rPr>
      </w:pPr>
      <w:r>
        <w:rPr>
          <w:rFonts w:cstheme="minorHAnsi"/>
        </w:rPr>
        <w:t>A área de drenagem de uma bacia é a projeção, em um plano horizontal, da superfície contida entre seus divisores topográficos. É obtida por meio de planimetria em mapas e, normalmente, expressa em km².</w:t>
      </w:r>
    </w:p>
    <w:p>
      <w:pPr>
        <w:spacing w:after="0" w:line="360" w:lineRule="auto"/>
        <w:jc w:val="both"/>
        <w:rPr>
          <w:rFonts w:cstheme="minorHAnsi"/>
        </w:rPr>
      </w:pPr>
      <w:r>
        <w:rPr>
          <w:rFonts w:cstheme="minorHAnsi"/>
        </w:rPr>
        <w:t>Quando se fala em previsões dentro do escopo da hidrologia, seja de vazão, seja de precipitação, tem que, inicialmente, se adotar uma metodologia que melhor represente o caso estudado, correlacionando o modelo físico do problema com os dados históricos presentes na região.</w:t>
      </w:r>
    </w:p>
    <w:p>
      <w:pPr>
        <w:spacing w:after="0" w:line="360" w:lineRule="auto"/>
        <w:jc w:val="both"/>
        <w:rPr>
          <w:rFonts w:cstheme="minorHAnsi"/>
        </w:rPr>
      </w:pPr>
      <w:r>
        <w:rPr>
          <w:rFonts w:cstheme="minorHAnsi"/>
        </w:rPr>
        <w:t>Para a aplicação da metodologia adequada, em primeiro lugar deve-se verificar a extensão da série histórica de dados fluviométricos existente e também, se necessário, o tamanho da área de drenagem (AD) da bacia em estudo (DAEE, 1994</w:t>
      </w:r>
      <w:bookmarkEnd w:id="11"/>
      <w:r>
        <w:rPr>
          <w:rFonts w:cstheme="minorHAnsi"/>
        </w:rPr>
        <w:t>).</w:t>
      </w:r>
    </w:p>
    <w:p>
      <w:pPr>
        <w:spacing w:after="0" w:line="360" w:lineRule="auto"/>
        <w:jc w:val="both"/>
        <w:rPr>
          <w:rFonts w:cstheme="minorHAnsi"/>
        </w:rPr>
      </w:pPr>
      <w:bookmarkStart w:id="12" w:name="_Hlk3285034"/>
      <w:r>
        <w:rPr>
          <w:rFonts w:cstheme="minorHAnsi"/>
        </w:rPr>
        <w:t>Portanto, é evidente que a presença de uma extensa série de dados na região de interesse, implicará em um grande aumento de qualidade dos resultados produzidos pelos métodos empregados.</w:t>
      </w:r>
    </w:p>
    <w:bookmarkEnd w:id="12"/>
    <w:p>
      <w:pPr>
        <w:pStyle w:val="19"/>
        <w:numPr>
          <w:ilvl w:val="0"/>
          <w:numId w:val="26"/>
        </w:numPr>
        <w:tabs>
          <w:tab w:val="left" w:pos="426"/>
        </w:tabs>
        <w:spacing w:before="240" w:after="0" w:line="360" w:lineRule="auto"/>
        <w:ind w:left="425" w:hanging="425"/>
        <w:contextualSpacing w:val="0"/>
        <w:jc w:val="both"/>
        <w:rPr>
          <w:rFonts w:cstheme="minorHAnsi"/>
          <w:b/>
        </w:rPr>
      </w:pPr>
      <w:bookmarkStart w:id="13" w:name="_Hlk3286486"/>
      <w:r>
        <w:rPr>
          <w:rFonts w:cstheme="minorHAnsi"/>
          <w:b/>
        </w:rPr>
        <w:t>Série de Dados Fluviométricos</w:t>
      </w:r>
    </w:p>
    <w:p>
      <w:pPr>
        <w:pStyle w:val="6"/>
        <w:spacing w:before="8"/>
        <w:rPr>
          <w:b/>
          <w:sz w:val="21"/>
        </w:rPr>
      </w:pPr>
    </w:p>
    <w:p>
      <w:pPr>
        <w:spacing w:after="0" w:line="360" w:lineRule="auto"/>
        <w:jc w:val="both"/>
        <w:rPr>
          <w:rFonts w:cstheme="minorHAnsi"/>
        </w:rPr>
      </w:pPr>
      <w:r>
        <w:rPr>
          <w:rFonts w:cstheme="minorHAnsi"/>
        </w:rPr>
        <w:t>Atualmente, é atribuição da ANA o fornecimento da série de dados (constantes do banco de dados Hidroweb) dos postos fluviométricos existentes no estirão do rio e na bacia hidrográfica. Esses dados normalmente são apresentados em tabela padronizada de acordo com os períodos de observação.</w:t>
      </w:r>
      <w:bookmarkEnd w:id="13"/>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Obtenção e tratamento de dados</w:t>
      </w:r>
    </w:p>
    <w:p>
      <w:pPr>
        <w:spacing w:after="0" w:line="360" w:lineRule="auto"/>
        <w:jc w:val="both"/>
        <w:rPr>
          <w:rFonts w:cstheme="minorHAnsi"/>
        </w:rPr>
      </w:pPr>
      <w:r>
        <w:rPr>
          <w:rFonts w:cstheme="minorHAnsi"/>
        </w:rPr>
        <w:t>Para o estudo hidrológico, é preciso montar uma série concisa de dados com máximos anuais. Além disso, é preciso desconsiderar alguns anos, que apresentam falhas de leitura. É importante ressaltar que se utiliza o ano hidrológico (sequência de dozes meses contados a partir da estação chuvosa) e não os anos normais (civis) para determinação de máximos fluviométricos. O emprego desse cuidado é de fundamental importância para não superestimar eventos hidrológicos pontuais.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Ajuste das Funções e Análise dos Resultados</w:t>
      </w:r>
    </w:p>
    <w:p>
      <w:pPr>
        <w:spacing w:after="0" w:line="360" w:lineRule="auto"/>
        <w:jc w:val="both"/>
        <w:rPr>
          <w:rFonts w:cstheme="minorHAnsi"/>
        </w:rPr>
      </w:pPr>
      <w:r>
        <w:rPr>
          <w:rFonts w:cstheme="minorHAnsi"/>
        </w:rPr>
        <w:t>Os dados de vazão ajustados e corrigidos permitiram uma análise estatística que utilizou como referência o programa Análise de frequência Local de Eventos Anuais - ALEA (versão 1). O programa usa o Método dos Momentos e da Máxima Verossimilhança para estimar os parâmetros e quantias das principais distribuições de probabilidades usadas na análise de frequências de eventos hidrológicos mínimos, médios e máximos anuais.</w:t>
      </w:r>
    </w:p>
    <w:p>
      <w:pPr>
        <w:spacing w:after="0" w:line="360" w:lineRule="auto"/>
        <w:jc w:val="both"/>
        <w:rPr>
          <w:rFonts w:cstheme="minorHAnsi"/>
        </w:rPr>
      </w:pPr>
      <w:r>
        <w:rPr>
          <w:rFonts w:cstheme="minorHAnsi"/>
        </w:rPr>
        <w:t>Naghettini e Pinto (2007) explicam que o método dos momentos consiste em igualar os momentos amostrais aos momentos populacionais. A solução dessa equação resultará nas estimativas dos parâmetros da distribuição de probabilidade em questão.</w:t>
      </w:r>
    </w:p>
    <w:p>
      <w:pPr>
        <w:spacing w:after="0" w:line="360" w:lineRule="auto"/>
        <w:jc w:val="both"/>
        <w:rPr>
          <w:rFonts w:cstheme="minorHAnsi"/>
        </w:rPr>
      </w:pPr>
      <w:r>
        <w:rPr>
          <w:rFonts w:cstheme="minorHAnsi"/>
        </w:rPr>
        <w:t>O método da Máxima Verossimilhança (MMV), segundo Katz, Parlange e Naveau (2002), busca maximizar uma função dos parâmetros da distribuição, chamada função verossimilhança. Ao se derivar essa função e igualá-la a zero, maximiza-se a probabilidade de um parâmetro representar uma população.</w:t>
      </w:r>
    </w:p>
    <w:p>
      <w:pPr>
        <w:spacing w:after="0" w:line="360" w:lineRule="auto"/>
        <w:jc w:val="both"/>
        <w:rPr>
          <w:rFonts w:cstheme="minorHAnsi"/>
        </w:rPr>
      </w:pPr>
      <w:r>
        <w:rPr>
          <w:rFonts w:cstheme="minorHAnsi"/>
        </w:rPr>
        <w:t>Estes mesmos autores demonstram em seus trabalhos que o MMV é um método que chega em bons resultados, quando há uma significativa quantidade de dados e anos de observação. Isto porque este método produz parâmetros com menor variância. A maioria das séries históricas hidrológicas existentes no Brasil são curtas (menos de 25 anos), e nestes casos, o método dos momentos pode produzir melhores resultados.</w:t>
      </w:r>
    </w:p>
    <w:p>
      <w:pPr>
        <w:spacing w:after="0" w:line="360" w:lineRule="auto"/>
        <w:jc w:val="both"/>
        <w:rPr>
          <w:rFonts w:cstheme="minorHAnsi"/>
        </w:rPr>
      </w:pPr>
      <w:r>
        <w:rPr>
          <w:rFonts w:cstheme="minorHAnsi"/>
        </w:rPr>
        <w:t>Os dados de vazão de máximos anuais hidrológicos adotados são aplicados aos modelos de distribuições candidatos propostos e existentes no ALEA e, para todas as amostras, são realizados os testes de aderência Kolmogorov-Smirnov e Qui-Quadrado. Em alguns casos, estes testes não fornecem resultados com grande discrepância estatística com relação às vazões teóricas e empíricas utilizando-se nível de significância de 5%.</w:t>
      </w:r>
    </w:p>
    <w:p>
      <w:pPr>
        <w:spacing w:after="0" w:line="360" w:lineRule="auto"/>
        <w:jc w:val="both"/>
        <w:rPr>
          <w:rFonts w:cstheme="minorHAnsi"/>
        </w:rPr>
      </w:pPr>
      <w:r>
        <w:rPr>
          <w:rFonts w:cstheme="minorHAnsi"/>
        </w:rPr>
        <w:t>Além disto, para representar a distribuição de frequência de vazões, procura-se adotar aquelas distribuições de probabilidade que, graficamente, melhor se ajustam à distribuição amostral e que apresentam uma melhor tendência linear, considerando um intervalo de confiança igual a 95%. Isto acaba por excluir aquelas distribuições de dados hidrológicos que parecem ter comportamento atípico em relação aos outros pontos amostrais.</w:t>
      </w:r>
    </w:p>
    <w:p>
      <w:pPr>
        <w:pStyle w:val="19"/>
        <w:numPr>
          <w:ilvl w:val="0"/>
          <w:numId w:val="26"/>
        </w:numPr>
        <w:tabs>
          <w:tab w:val="left" w:pos="426"/>
        </w:tabs>
        <w:spacing w:before="240" w:after="0" w:line="360" w:lineRule="auto"/>
        <w:ind w:left="425" w:hanging="425"/>
        <w:contextualSpacing w:val="0"/>
        <w:jc w:val="both"/>
      </w:pPr>
      <w:bookmarkStart w:id="14" w:name="_Hlk3285067"/>
      <w:r>
        <w:rPr>
          <w:rFonts w:cstheme="minorHAnsi"/>
          <w:b/>
        </w:rPr>
        <w:t>Análise pelo Software</w:t>
      </w:r>
    </w:p>
    <w:p>
      <w:pPr>
        <w:spacing w:after="0" w:line="360" w:lineRule="auto"/>
        <w:jc w:val="both"/>
        <w:rPr>
          <w:rFonts w:cstheme="minorHAnsi"/>
        </w:rPr>
      </w:pPr>
      <w:r>
        <w:rPr>
          <w:rFonts w:cstheme="minorHAnsi"/>
        </w:rPr>
        <w:t>Uma das ferramentas mais utilizadas para a execução de estudos hidrológicos atualmente são os Sistemas de Suporte à Decisão - SSDs aplicados na área de recursos hídricos, destacando-se o Sistema de Suporte a Decisões para Análise de Ondas de Cheias em Bacias Complexas.</w:t>
      </w:r>
    </w:p>
    <w:p>
      <w:pPr>
        <w:spacing w:after="0" w:line="360" w:lineRule="auto"/>
        <w:jc w:val="both"/>
        <w:rPr>
          <w:rFonts w:cstheme="minorHAnsi"/>
        </w:rPr>
      </w:pPr>
      <w:r>
        <w:rPr>
          <w:rFonts w:cstheme="minorHAnsi"/>
        </w:rPr>
        <w:t>O software deverá ser gratuito e apresentar diversos modelos de determinação da precipitação efetiva e de geração de hidrogramas sintéticos.</w:t>
      </w:r>
    </w:p>
    <w:p>
      <w:pPr>
        <w:spacing w:after="0" w:line="360" w:lineRule="auto"/>
        <w:jc w:val="both"/>
        <w:rPr>
          <w:rFonts w:cstheme="minorHAnsi"/>
        </w:rPr>
      </w:pPr>
      <w:r>
        <w:rPr>
          <w:rFonts w:cstheme="minorHAnsi"/>
        </w:rPr>
        <w:t>Quando os dados hidrológicos da área de estudo, como precipitação e vazão, encontram-se disponíveis, os parâmetros desses modelos podem ser determinados. Em suma, a finalidade do software é auxiliar o usuário em simulações e caminhamento de ondas de cheias geradas por tormentas de projeto em bacias hidrográficas complexas.</w:t>
      </w:r>
    </w:p>
    <w:bookmarkEnd w:id="14"/>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Classificação do Uso e Ocupação da Superfície da Bacia</w:t>
      </w:r>
    </w:p>
    <w:p>
      <w:pPr>
        <w:spacing w:after="0" w:line="360" w:lineRule="auto"/>
        <w:jc w:val="both"/>
        <w:rPr>
          <w:rFonts w:cstheme="minorHAnsi"/>
        </w:rPr>
      </w:pPr>
      <w:r>
        <w:rPr>
          <w:rFonts w:cstheme="minorHAnsi"/>
        </w:rPr>
        <w:t>Para classificação do uso e ocupação da superfície da bacia utiliza-se o Sistema de Informações Geográficas - SIG, visando ao processamento de imagens, análise espacial, modelagem numérica de terreno e consulta a banco de dados espaciais.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Características da Brecha</w:t>
      </w:r>
    </w:p>
    <w:p>
      <w:pPr>
        <w:spacing w:after="0" w:line="360" w:lineRule="auto"/>
        <w:jc w:val="both"/>
        <w:rPr>
          <w:rFonts w:cstheme="minorHAnsi"/>
        </w:rPr>
      </w:pPr>
      <w:r>
        <w:rPr>
          <w:rFonts w:cstheme="minorHAnsi"/>
        </w:rPr>
        <w:t>As principais características da brecha a serem conhecidas são: configuração geométrica, dimensões e o tempo de ruptura; fatores que, no seu conjunto, influenciam os valores das vazões, nos níveis e tempos de chegada da onda de ruptura às diferentes zonas da área de inundação, afetando diretamente na elaboração do PAE.</w:t>
      </w:r>
    </w:p>
    <w:p>
      <w:pPr>
        <w:spacing w:after="0" w:line="360" w:lineRule="auto"/>
        <w:jc w:val="both"/>
        <w:rPr>
          <w:rFonts w:cstheme="minorHAnsi"/>
        </w:rPr>
      </w:pPr>
      <w:r>
        <w:rPr>
          <w:rFonts w:cstheme="minorHAnsi"/>
        </w:rPr>
        <w:t xml:space="preserve">A Literatura apresenta uma gama de autores que estudaram a largura característica da brecha de barragens em aterro ao longo dos anos, de acordo com análise de estruturas que romperam. </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Tempo de Ruptura</w:t>
      </w:r>
    </w:p>
    <w:p>
      <w:pPr>
        <w:spacing w:after="0" w:line="360" w:lineRule="auto"/>
        <w:jc w:val="both"/>
        <w:rPr>
          <w:rFonts w:cstheme="minorHAnsi"/>
        </w:rPr>
      </w:pPr>
      <w:r>
        <w:rPr>
          <w:rFonts w:cstheme="minorHAnsi"/>
        </w:rPr>
        <w:t>Tempo de ruptura - TRUP é definido como sendo o intervalo de tempo do momento que ocorre o aparecimento da primeira brecha na face a montante da barragem até a sua formação completa, correspondendo assim o tempo de formação da brecha.</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Vazão de Ruptura</w:t>
      </w:r>
    </w:p>
    <w:p>
      <w:pPr>
        <w:spacing w:after="0" w:line="360" w:lineRule="auto"/>
        <w:jc w:val="both"/>
        <w:rPr>
          <w:rFonts w:cstheme="minorHAnsi"/>
        </w:rPr>
      </w:pPr>
      <w:r>
        <w:rPr>
          <w:rFonts w:cstheme="minorHAnsi"/>
        </w:rPr>
        <w:t>Por meio de formulações matemáticas deduzidas de modo empírico, pode-se determinar a vazão de pico defluente devido à ruptura, em função das características da barragem (altura, comprimento da crista, volume do reservatório, etc.) e da brecha de ruptura (largura, altura e tempo de formação).</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Hidrograma de Ruptura</w:t>
      </w:r>
    </w:p>
    <w:p>
      <w:pPr>
        <w:spacing w:after="0" w:line="360" w:lineRule="auto"/>
        <w:jc w:val="both"/>
        <w:rPr>
          <w:rFonts w:cstheme="minorHAnsi"/>
        </w:rPr>
      </w:pPr>
      <w:r>
        <w:rPr>
          <w:rFonts w:cstheme="minorHAnsi"/>
        </w:rPr>
        <w:t>O processo de ruptura e formação da brecha é de grande influência para a magnitude, duração e forma do hidrograma de saída da barragem. O hidrograma de ruptura de uma barragem depende das características do barramento, do reservatório, da brecha formada e da causa da ruptura hipotética considerada.</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Vazões Afluentes</w:t>
      </w:r>
    </w:p>
    <w:p>
      <w:pPr>
        <w:spacing w:after="0" w:line="360" w:lineRule="auto"/>
        <w:jc w:val="both"/>
        <w:rPr>
          <w:rFonts w:cstheme="minorHAnsi"/>
        </w:rPr>
      </w:pPr>
      <w:r>
        <w:rPr>
          <w:rFonts w:cstheme="minorHAnsi"/>
        </w:rPr>
        <w:t>Ainda segundo VISEU (2006), devemos considerar o efeito de um hidrograma afluente sobre o estudo de ruptura de uma barragem para o cenário mais provável, para o caso desta apresentar as seguintes características:</w:t>
      </w:r>
    </w:p>
    <w:p>
      <w:pPr>
        <w:pStyle w:val="19"/>
        <w:numPr>
          <w:ilvl w:val="0"/>
          <w:numId w:val="14"/>
        </w:numPr>
        <w:spacing w:after="0" w:line="360" w:lineRule="auto"/>
        <w:ind w:left="0" w:firstLine="284"/>
        <w:jc w:val="both"/>
      </w:pPr>
      <w:r>
        <w:t>Ser uma PCH;</w:t>
      </w:r>
    </w:p>
    <w:p>
      <w:pPr>
        <w:pStyle w:val="19"/>
        <w:numPr>
          <w:ilvl w:val="0"/>
          <w:numId w:val="14"/>
        </w:numPr>
        <w:spacing w:after="0" w:line="360" w:lineRule="auto"/>
        <w:ind w:left="0" w:firstLine="284"/>
        <w:jc w:val="both"/>
      </w:pPr>
      <w:r>
        <w:t>Apresentar seu cenário de ruptura por galgamento;</w:t>
      </w:r>
    </w:p>
    <w:p>
      <w:pPr>
        <w:pStyle w:val="19"/>
        <w:numPr>
          <w:ilvl w:val="0"/>
          <w:numId w:val="14"/>
        </w:numPr>
        <w:spacing w:after="0" w:line="360" w:lineRule="auto"/>
        <w:ind w:left="0" w:firstLine="284"/>
        <w:jc w:val="both"/>
      </w:pPr>
      <w:r>
        <w:t>Apresentar efeito em cascata, devido a ruptura de uma barragem a sua montante;</w:t>
      </w:r>
    </w:p>
    <w:p>
      <w:pPr>
        <w:pStyle w:val="19"/>
        <w:numPr>
          <w:ilvl w:val="0"/>
          <w:numId w:val="14"/>
        </w:numPr>
        <w:spacing w:after="0" w:line="360" w:lineRule="auto"/>
        <w:ind w:left="0" w:firstLine="284"/>
        <w:jc w:val="both"/>
      </w:pPr>
      <w:r>
        <w:t>Tal hidrograma afluente a se considerar pode ser obtido através de:</w:t>
      </w:r>
    </w:p>
    <w:p>
      <w:pPr>
        <w:pStyle w:val="19"/>
        <w:numPr>
          <w:ilvl w:val="1"/>
          <w:numId w:val="14"/>
        </w:numPr>
        <w:spacing w:after="0" w:line="360" w:lineRule="auto"/>
        <w:jc w:val="both"/>
      </w:pPr>
      <w:r>
        <w:t>Vazão média anual ou cheia associada a um menor Tempo de Recorrência – TR, condizente com uma ruptura em dia de sol (sem efeito da precipitação);</w:t>
      </w:r>
    </w:p>
    <w:p>
      <w:pPr>
        <w:pStyle w:val="19"/>
        <w:numPr>
          <w:ilvl w:val="1"/>
          <w:numId w:val="14"/>
        </w:numPr>
        <w:spacing w:after="0" w:line="360" w:lineRule="auto"/>
        <w:jc w:val="both"/>
      </w:pPr>
      <w:r>
        <w:t>Cheia conhecida – vazão de projeto da barragem ou Tempo de Recorrência - TR elevado, condizente com uma ruptura por galgamento.</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Propagação da onda de cheia</w:t>
      </w:r>
    </w:p>
    <w:p>
      <w:pPr>
        <w:spacing w:after="0" w:line="360" w:lineRule="auto"/>
        <w:jc w:val="both"/>
        <w:rPr>
          <w:rFonts w:cstheme="minorHAnsi"/>
        </w:rPr>
      </w:pPr>
      <w:r>
        <w:rPr>
          <w:rFonts w:cstheme="minorHAnsi"/>
        </w:rPr>
        <w:t>Para a propagação da onda de cheia serão consideradas as seguintes simulações da cheia:</w:t>
      </w:r>
    </w:p>
    <w:p>
      <w:pPr>
        <w:pStyle w:val="19"/>
        <w:numPr>
          <w:ilvl w:val="0"/>
          <w:numId w:val="14"/>
        </w:numPr>
        <w:spacing w:after="0" w:line="360" w:lineRule="auto"/>
        <w:ind w:left="0" w:firstLine="284"/>
        <w:jc w:val="both"/>
      </w:pPr>
      <w:r>
        <w:t>Induzida pela ruptura da barragem para o cenário mais desfavorável;</w:t>
      </w:r>
    </w:p>
    <w:p>
      <w:pPr>
        <w:pStyle w:val="19"/>
        <w:numPr>
          <w:ilvl w:val="0"/>
          <w:numId w:val="14"/>
        </w:numPr>
        <w:spacing w:after="0" w:line="360" w:lineRule="auto"/>
        <w:ind w:left="0" w:firstLine="284"/>
        <w:jc w:val="both"/>
      </w:pPr>
      <w:r>
        <w:t>Induzida pela ruptura da barragem para o cenário mais provável;</w:t>
      </w:r>
    </w:p>
    <w:p>
      <w:pPr>
        <w:pStyle w:val="19"/>
        <w:numPr>
          <w:ilvl w:val="0"/>
          <w:numId w:val="14"/>
        </w:numPr>
        <w:spacing w:after="0" w:line="360" w:lineRule="auto"/>
        <w:ind w:left="0" w:firstLine="284"/>
        <w:jc w:val="both"/>
      </w:pPr>
      <w:r>
        <w:t>De dimensionamento do vertedouro.</w:t>
      </w:r>
    </w:p>
    <w:p>
      <w:pPr>
        <w:spacing w:after="0" w:line="360" w:lineRule="auto"/>
        <w:jc w:val="both"/>
        <w:rPr>
          <w:rFonts w:cstheme="minorHAnsi"/>
        </w:rPr>
      </w:pPr>
      <w:r>
        <w:rPr>
          <w:rFonts w:cstheme="minorHAnsi"/>
        </w:rPr>
        <w:t>As ondas de cheia possuem um volume (vc) transportado em um tempo (tc), no entanto quando ocorre a ruptura de uma barragem esse volume de ruptura (vr) é liberado de acordo das condições de ruptura, principalmente, do tempo de formação da brecha (tr). O intervalo tempo que a onda de cheia demora para atingir uma área em relação a onda de ruptura é maior.</w:t>
      </w:r>
    </w:p>
    <w:p>
      <w:pPr>
        <w:spacing w:after="0" w:line="360" w:lineRule="auto"/>
        <w:jc w:val="both"/>
        <w:rPr>
          <w:rFonts w:cstheme="minorHAnsi"/>
        </w:rPr>
      </w:pPr>
      <w:r>
        <w:rPr>
          <w:rFonts w:cstheme="minorHAnsi"/>
        </w:rPr>
        <w:t>A onda de ruptura de barragens é caracterizada por elevados gradientes de descarga, e sua propagação a jusante é influenciada pelas condições da calha, planícies laterais de inundação e resistência ao escoamento.</w:t>
      </w:r>
    </w:p>
    <w:p>
      <w:pPr>
        <w:spacing w:after="0" w:line="360" w:lineRule="auto"/>
        <w:jc w:val="both"/>
        <w:rPr>
          <w:rFonts w:cstheme="minorHAnsi"/>
        </w:rPr>
      </w:pPr>
      <w:r>
        <w:rPr>
          <w:rFonts w:cstheme="minorHAnsi"/>
        </w:rPr>
        <w:t>O escoamento resultante da ruptura de uma barragem envolve fenômenos de difícil caracterização matemática e com grande variação das grandezas hidráulicas no tempo e no espaço.</w:t>
      </w:r>
    </w:p>
    <w:p>
      <w:pPr>
        <w:spacing w:after="0" w:line="360" w:lineRule="auto"/>
        <w:jc w:val="both"/>
        <w:rPr>
          <w:rFonts w:cstheme="minorHAnsi"/>
        </w:rPr>
      </w:pPr>
      <w:r>
        <w:rPr>
          <w:rFonts w:cstheme="minorHAnsi"/>
        </w:rPr>
        <w:t>Os modelos matemáticos são desenvolvidos utilizando as equações diferenciais que regem os fenômenos envolvidos, sendo muito difundidos os modelos que utilizam as equações de Saint - Venant, que realizam o balanço de massa e da quantidade de movimento em escoamentos unidimensionais.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Coeficiente de Manning</w:t>
      </w:r>
    </w:p>
    <w:p>
      <w:pPr>
        <w:spacing w:after="0" w:line="360" w:lineRule="auto"/>
        <w:jc w:val="both"/>
        <w:rPr>
          <w:rFonts w:cstheme="minorHAnsi"/>
        </w:rPr>
      </w:pPr>
      <w:r>
        <w:rPr>
          <w:rFonts w:cstheme="minorHAnsi"/>
        </w:rPr>
        <w:t>O coeficiente de Manning (coeficiente de rugosidade de escoamento) foi proposto pelo engenheiro Irlandês Robert Manning em 1889. Chow (1959) demonstrou que este coeficiente varia na seção de acordo com o nível d’agua. Em aspectos gerais, quanto menor a profundidade d’água, maiores os efeitos das irregularidades do fundo do canal e, portanto, maior o seu valor.</w:t>
      </w:r>
    </w:p>
    <w:p>
      <w:pPr>
        <w:spacing w:after="0" w:line="360" w:lineRule="auto"/>
        <w:jc w:val="both"/>
        <w:rPr>
          <w:rFonts w:cstheme="minorHAnsi"/>
        </w:rPr>
      </w:pPr>
      <w:r>
        <w:rPr>
          <w:rFonts w:cstheme="minorHAnsi"/>
        </w:rPr>
        <w:t>O coeficiente de Manning é variável e depende de fatores como: vegetação, características do solo, irregularidades da superfície, alinhamento e forma do canal, deposições, obstruções, vazões e mudanças sazonais.</w:t>
      </w:r>
    </w:p>
    <w:p>
      <w:pPr>
        <w:spacing w:after="0" w:line="360" w:lineRule="auto"/>
        <w:jc w:val="both"/>
        <w:rPr>
          <w:rFonts w:cstheme="minorHAnsi"/>
        </w:rPr>
      </w:pPr>
      <w:r>
        <w:rPr>
          <w:rFonts w:cstheme="minorHAnsi"/>
        </w:rPr>
        <w:t>Esses valores podem ser determinados em experimentos de laboratório, por valores médios observados “in-loco”, através de fotografias recentes, pesquisas bibliográficas de canais com características similares ou imagens de satélite podem servir para zonear as áreas análogas para a aplicação de valores do coeficiente de rugosidade de Manning.</w:t>
      </w:r>
    </w:p>
    <w:p>
      <w:pPr>
        <w:spacing w:after="0" w:line="360" w:lineRule="auto"/>
        <w:jc w:val="both"/>
        <w:rPr>
          <w:rFonts w:cstheme="minorHAnsi"/>
        </w:rPr>
      </w:pPr>
      <w:r>
        <w:rPr>
          <w:rFonts w:cstheme="minorHAnsi"/>
        </w:rPr>
        <w:t>A confiabilidade dos dados calculados depende da escolha apropriada do coeficiente de Manning, pois ele interfere diretamente na altura de inundação.</w:t>
      </w:r>
    </w:p>
    <w:p>
      <w:pPr>
        <w:spacing w:after="0" w:line="360" w:lineRule="auto"/>
        <w:jc w:val="both"/>
        <w:rPr>
          <w:rFonts w:cstheme="minorHAnsi"/>
        </w:rPr>
      </w:pPr>
      <w:r>
        <w:rPr>
          <w:rFonts w:cstheme="minorHAnsi"/>
        </w:rPr>
        <w:t>Conforme FREAD, (1998) o valor da rugosidade de Manning em inundações é consideravelmente maior do que quando o rio está confinado no seu curso normal. As obstruções temporárias devido à alta velocidade da água e os resíduos levados pela onda de cheia provocam um aumento significativo do coeficiente.</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Geração de Mapas de Inundação e Rotas de Fuga</w:t>
      </w:r>
    </w:p>
    <w:p>
      <w:pPr>
        <w:spacing w:after="0" w:line="360" w:lineRule="auto"/>
        <w:jc w:val="both"/>
        <w:rPr>
          <w:rFonts w:cstheme="minorHAnsi"/>
        </w:rPr>
      </w:pPr>
      <w:r>
        <w:rPr>
          <w:rFonts w:cstheme="minorHAnsi"/>
        </w:rPr>
        <w:t>O objetivo dos mapas de inundação é auxiliar o gerenciamento das ações de emergência por parte das autoridades e proprietários de barragens, mostrando a extensão e o tempo esperado de uma cheia no caso de ruptura hipotética da barragem. Devem mostrar claramente as zonas de inundação, seções transversais de controle, posição da barragem, pontes, estradas, construções e outras feições que sejam de interesse.</w:t>
      </w:r>
    </w:p>
    <w:p>
      <w:pPr>
        <w:spacing w:after="0" w:line="360" w:lineRule="auto"/>
        <w:jc w:val="both"/>
        <w:rPr>
          <w:rFonts w:cstheme="minorHAnsi"/>
        </w:rPr>
      </w:pPr>
      <w:r>
        <w:rPr>
          <w:rFonts w:cstheme="minorHAnsi"/>
        </w:rPr>
        <w:t>As informações contidas no mapa devem ser suficientes para que as autoridades possam planejar suas ações e procedimentos de comunicação, além de gerir o uso e ocupação do solo e determinar as áreas prioritárias de evacuação com suas rotas de fuga.</w:t>
      </w:r>
    </w:p>
    <w:p>
      <w:pPr>
        <w:spacing w:after="0" w:line="360" w:lineRule="auto"/>
        <w:jc w:val="both"/>
        <w:rPr>
          <w:rFonts w:cstheme="minorHAnsi"/>
        </w:rPr>
      </w:pPr>
      <w:r>
        <w:rPr>
          <w:rFonts w:cstheme="minorHAnsi"/>
        </w:rPr>
        <w:t>Os mapas estarão acompanhados das seguintes informações:</w:t>
      </w:r>
    </w:p>
    <w:p>
      <w:pPr>
        <w:pStyle w:val="6"/>
        <w:spacing w:before="8"/>
        <w:rPr>
          <w:sz w:val="21"/>
        </w:rPr>
      </w:pPr>
    </w:p>
    <w:p>
      <w:pPr>
        <w:pStyle w:val="19"/>
        <w:numPr>
          <w:ilvl w:val="0"/>
          <w:numId w:val="14"/>
        </w:numPr>
        <w:spacing w:after="0" w:line="360" w:lineRule="auto"/>
        <w:ind w:left="0" w:firstLine="284"/>
        <w:jc w:val="both"/>
      </w:pPr>
      <w:r>
        <w:t>Velocidade de arraste;</w:t>
      </w:r>
    </w:p>
    <w:p>
      <w:pPr>
        <w:pStyle w:val="19"/>
        <w:numPr>
          <w:ilvl w:val="0"/>
          <w:numId w:val="14"/>
        </w:numPr>
        <w:spacing w:after="0" w:line="360" w:lineRule="auto"/>
        <w:ind w:left="0" w:firstLine="284"/>
        <w:jc w:val="both"/>
      </w:pPr>
      <w:r>
        <w:t>Tempos de chegada de onda de cheia;</w:t>
      </w:r>
    </w:p>
    <w:p>
      <w:pPr>
        <w:pStyle w:val="19"/>
        <w:numPr>
          <w:ilvl w:val="0"/>
          <w:numId w:val="14"/>
        </w:numPr>
        <w:spacing w:after="0" w:line="360" w:lineRule="auto"/>
        <w:ind w:left="0" w:firstLine="284"/>
        <w:jc w:val="both"/>
      </w:pPr>
      <w:r>
        <w:t>Áreas atingidas;</w:t>
      </w:r>
    </w:p>
    <w:p>
      <w:pPr>
        <w:pStyle w:val="19"/>
        <w:numPr>
          <w:ilvl w:val="0"/>
          <w:numId w:val="14"/>
        </w:numPr>
        <w:spacing w:after="0" w:line="360" w:lineRule="auto"/>
        <w:ind w:left="0" w:firstLine="284"/>
        <w:jc w:val="both"/>
      </w:pPr>
      <w:r>
        <w:t>Cota e profundidades máximas de inundação;</w:t>
      </w:r>
    </w:p>
    <w:p>
      <w:pPr>
        <w:pStyle w:val="19"/>
        <w:numPr>
          <w:ilvl w:val="0"/>
          <w:numId w:val="14"/>
        </w:numPr>
        <w:spacing w:after="0" w:line="360" w:lineRule="auto"/>
        <w:ind w:left="0" w:firstLine="284"/>
        <w:jc w:val="both"/>
      </w:pPr>
      <w:r>
        <w:t>Valor máximo do produto velocidade pela altura de água;</w:t>
      </w:r>
    </w:p>
    <w:p>
      <w:pPr>
        <w:pStyle w:val="19"/>
        <w:numPr>
          <w:ilvl w:val="0"/>
          <w:numId w:val="14"/>
        </w:numPr>
        <w:spacing w:after="0" w:line="360" w:lineRule="auto"/>
        <w:ind w:left="0" w:firstLine="284"/>
        <w:jc w:val="both"/>
      </w:pPr>
      <w:r>
        <w:t>Duração das submersões.</w:t>
      </w:r>
    </w:p>
    <w:p>
      <w:pPr>
        <w:spacing w:after="0" w:line="360" w:lineRule="auto"/>
        <w:jc w:val="both"/>
        <w:rPr>
          <w:rFonts w:cstheme="minorHAnsi"/>
        </w:rPr>
      </w:pPr>
      <w:r>
        <w:rPr>
          <w:rFonts w:cstheme="minorHAnsi"/>
        </w:rPr>
        <w:t>Nota:</w:t>
      </w:r>
    </w:p>
    <w:p>
      <w:pPr>
        <w:spacing w:after="0" w:line="360" w:lineRule="auto"/>
        <w:jc w:val="both"/>
        <w:rPr>
          <w:rFonts w:cstheme="minorHAnsi"/>
        </w:rPr>
      </w:pPr>
      <w:r>
        <w:rPr>
          <w:rFonts w:cstheme="minorHAnsi"/>
        </w:rPr>
        <w:t>Para os pontos relevantes serão fornecidas as alturas de lâmina d’água, tempo de propagação da onda e velocidades nos pontos relevantes (hidrogramas) e risco hidrodinâmicos.</w:t>
      </w:r>
    </w:p>
    <w:p>
      <w:pPr>
        <w:spacing w:after="0" w:line="360" w:lineRule="auto"/>
        <w:jc w:val="both"/>
        <w:rPr>
          <w:rFonts w:cstheme="minorHAnsi"/>
        </w:rPr>
      </w:pPr>
    </w:p>
    <w:p>
      <w:pPr>
        <w:pStyle w:val="19"/>
        <w:numPr>
          <w:ilvl w:val="0"/>
          <w:numId w:val="28"/>
        </w:numPr>
        <w:spacing w:after="0" w:line="360" w:lineRule="auto"/>
        <w:ind w:left="-2" w:leftChars="0" w:right="0" w:rightChars="0" w:firstLine="0" w:firstLineChars="0"/>
        <w:jc w:val="both"/>
        <w:rPr>
          <w:rFonts w:cstheme="minorHAnsi"/>
          <w:b/>
        </w:rPr>
      </w:pPr>
      <w:r>
        <w:rPr>
          <w:rFonts w:cstheme="minorHAnsi"/>
          <w:b/>
        </w:rPr>
        <w:t>Descrição das Zonas de Autossalvamento – ZAS</w:t>
      </w:r>
    </w:p>
    <w:p>
      <w:pPr>
        <w:spacing w:after="0" w:line="360" w:lineRule="auto"/>
        <w:jc w:val="both"/>
        <w:rPr>
          <w:rFonts w:cstheme="minorHAnsi"/>
        </w:rPr>
      </w:pPr>
      <w:r>
        <w:rPr>
          <w:rFonts w:cstheme="minorHAnsi"/>
        </w:rPr>
        <w:t>A zona de auto salvamento é aquela situada no vale a jusante em que se considera não haver tempo suficiente para a intervenção de autoridades competentes em caso de um eventual acidente, e que o empreendedor deve utilizar esta região para alertar a população potencialmente afetada no caso de um acidente ou operação extrema dos vertedouros. Lembrando que a responsabilidade do Empreendedor dentro da Zona de auto salvamento será apenas de alertar a população, não lhe cabendo a responsabilidade de remoção da população, cuja responsabilidade a princípio é das autoridades competentes.</w:t>
      </w:r>
    </w:p>
    <w:p>
      <w:pPr>
        <w:spacing w:after="0" w:line="360" w:lineRule="auto"/>
        <w:jc w:val="both"/>
        <w:rPr>
          <w:rFonts w:cstheme="minorHAnsi"/>
        </w:rPr>
      </w:pPr>
      <w:r>
        <w:rPr>
          <w:rFonts w:cstheme="minorHAnsi"/>
        </w:rPr>
        <w:t>A Agência Nacional de Águas – ANA sugere adotar a menor das seguintes distâncias: 10 km ou a distância que corresponda a um tempo de chegada da onda de inundação igual a trinta minutos.</w:t>
      </w:r>
    </w:p>
    <w:p>
      <w:pPr>
        <w:spacing w:after="0" w:line="360" w:lineRule="auto"/>
        <w:jc w:val="both"/>
        <w:rPr>
          <w:rFonts w:cstheme="minorHAnsi"/>
        </w:rPr>
      </w:pPr>
      <w:r>
        <w:rPr>
          <w:rFonts w:cstheme="minorHAnsi"/>
        </w:rPr>
        <w:t>Recomenda-se que este zoneamento seja realizado a partir de um estudo específico para o sítio podendo ser maior ou menor a que a orientação da ANA, levando-se em consideração as características locais.</w:t>
      </w:r>
    </w:p>
    <w:p>
      <w:pPr>
        <w:spacing w:after="0" w:line="360" w:lineRule="auto"/>
        <w:jc w:val="both"/>
        <w:rPr>
          <w:rFonts w:cstheme="minorHAnsi"/>
        </w:rPr>
      </w:pPr>
    </w:p>
    <w:p>
      <w:pPr>
        <w:pStyle w:val="19"/>
        <w:numPr>
          <w:ilvl w:val="0"/>
          <w:numId w:val="28"/>
        </w:numPr>
        <w:spacing w:after="0" w:line="360" w:lineRule="auto"/>
        <w:ind w:left="-2" w:leftChars="0" w:right="0" w:rightChars="0" w:firstLine="0" w:firstLineChars="0"/>
        <w:jc w:val="both"/>
        <w:rPr>
          <w:rFonts w:cstheme="minorHAnsi"/>
          <w:b/>
        </w:rPr>
      </w:pPr>
      <w:r>
        <w:rPr>
          <w:rFonts w:cstheme="minorHAnsi"/>
          <w:b/>
        </w:rPr>
        <w:t>Entende-se, por tanto, que a responsabilidade do empreendedor, na zona de auto salvamento, limita-se a alertar e avisar a população da área potencialmente afetada em situação de emergência da barragem.</w:t>
      </w:r>
    </w:p>
    <w:p>
      <w:pPr>
        <w:spacing w:after="0" w:line="360" w:lineRule="auto"/>
        <w:jc w:val="both"/>
        <w:rPr>
          <w:rFonts w:cstheme="minorHAnsi"/>
        </w:rPr>
      </w:pPr>
      <w:r>
        <w:rPr>
          <w:rFonts w:cstheme="minorHAnsi"/>
        </w:rPr>
        <w:t>Nesta Zona serão relatadas as seguintes informações:</w:t>
      </w:r>
    </w:p>
    <w:p>
      <w:pPr>
        <w:pStyle w:val="19"/>
        <w:numPr>
          <w:ilvl w:val="0"/>
          <w:numId w:val="14"/>
        </w:numPr>
        <w:spacing w:after="0" w:line="360" w:lineRule="auto"/>
        <w:ind w:left="0" w:firstLine="284"/>
        <w:jc w:val="both"/>
      </w:pPr>
      <w:r>
        <w:t>Número de edificações atingidas;</w:t>
      </w:r>
    </w:p>
    <w:p>
      <w:pPr>
        <w:pStyle w:val="19"/>
        <w:numPr>
          <w:ilvl w:val="0"/>
          <w:numId w:val="14"/>
        </w:numPr>
        <w:spacing w:after="0" w:line="360" w:lineRule="auto"/>
        <w:ind w:left="0" w:firstLine="284"/>
        <w:jc w:val="both"/>
      </w:pPr>
      <w:r>
        <w:t>Altura da lâmina d’água;</w:t>
      </w:r>
    </w:p>
    <w:p>
      <w:pPr>
        <w:pStyle w:val="19"/>
        <w:numPr>
          <w:ilvl w:val="0"/>
          <w:numId w:val="14"/>
        </w:numPr>
        <w:spacing w:after="0" w:line="360" w:lineRule="auto"/>
        <w:ind w:left="0" w:firstLine="284"/>
        <w:jc w:val="both"/>
      </w:pPr>
      <w:r>
        <w:t>Tempo de chegada da onda;</w:t>
      </w:r>
    </w:p>
    <w:p>
      <w:pPr>
        <w:pStyle w:val="19"/>
        <w:numPr>
          <w:ilvl w:val="0"/>
          <w:numId w:val="14"/>
        </w:numPr>
        <w:spacing w:after="0" w:line="360" w:lineRule="auto"/>
        <w:ind w:left="0" w:firstLine="284"/>
        <w:jc w:val="both"/>
      </w:pPr>
      <w:r>
        <w:t>Velocidade da onda;</w:t>
      </w:r>
    </w:p>
    <w:p>
      <w:pPr>
        <w:pStyle w:val="19"/>
        <w:numPr>
          <w:ilvl w:val="0"/>
          <w:numId w:val="14"/>
        </w:numPr>
        <w:spacing w:after="0" w:line="360" w:lineRule="auto"/>
        <w:ind w:left="0" w:firstLine="284"/>
        <w:jc w:val="both"/>
      </w:pPr>
      <w:r>
        <w:t>Risco hidrodinâmico; e</w:t>
      </w:r>
    </w:p>
    <w:p>
      <w:pPr>
        <w:pStyle w:val="19"/>
        <w:numPr>
          <w:ilvl w:val="0"/>
          <w:numId w:val="14"/>
        </w:numPr>
        <w:spacing w:after="0" w:line="360" w:lineRule="auto"/>
        <w:ind w:left="0" w:firstLine="284"/>
        <w:jc w:val="both"/>
      </w:pPr>
      <w:r>
        <w:t>Rotas de fuga.</w:t>
      </w:r>
    </w:p>
    <w:p>
      <w:pPr>
        <w:pStyle w:val="19"/>
        <w:spacing w:after="0" w:line="360" w:lineRule="auto"/>
        <w:ind w:left="284"/>
        <w:jc w:val="both"/>
      </w:pPr>
    </w:p>
    <w:p>
      <w:pPr>
        <w:pStyle w:val="19"/>
        <w:numPr>
          <w:ilvl w:val="0"/>
          <w:numId w:val="28"/>
        </w:numPr>
        <w:spacing w:after="0" w:line="360" w:lineRule="auto"/>
        <w:ind w:left="-2" w:leftChars="0" w:right="0" w:rightChars="0" w:firstLine="0" w:firstLineChars="0"/>
        <w:jc w:val="both"/>
        <w:rPr>
          <w:rFonts w:cstheme="minorHAnsi"/>
          <w:b/>
        </w:rPr>
      </w:pPr>
      <w:r>
        <w:rPr>
          <w:rFonts w:cstheme="minorHAnsi"/>
          <w:b/>
        </w:rPr>
        <w:t>Procedimentos de comunicação na Zona de Auto Salvamento - ZAS</w:t>
      </w:r>
    </w:p>
    <w:p>
      <w:pPr>
        <w:spacing w:after="0" w:line="360" w:lineRule="auto"/>
        <w:jc w:val="both"/>
        <w:rPr>
          <w:rFonts w:cstheme="minorHAnsi"/>
        </w:rPr>
      </w:pPr>
      <w:r>
        <w:rPr>
          <w:rFonts w:cstheme="minorHAnsi"/>
        </w:rPr>
        <w:t>Os procedimentos de comunicação devem estabelecer infraestruturas e ações para garantir o adequado fluxo de informação para a população presente na ZAS e deverá obedecer, minimamente, aos seguintes critérios:</w:t>
      </w:r>
    </w:p>
    <w:p>
      <w:pPr>
        <w:pStyle w:val="19"/>
        <w:numPr>
          <w:ilvl w:val="0"/>
          <w:numId w:val="14"/>
        </w:numPr>
        <w:spacing w:after="0" w:line="360" w:lineRule="auto"/>
        <w:ind w:left="0" w:firstLine="284"/>
        <w:jc w:val="both"/>
        <w:rPr>
          <w:rFonts w:cstheme="minorHAnsi"/>
        </w:rPr>
      </w:pPr>
      <w:r>
        <w:rPr>
          <w:rFonts w:cstheme="minorHAnsi"/>
        </w:rPr>
        <w:t>Os equipamentos a serem utilizados devem estar funcionando permanentemente inclusive nas situações adversas;</w:t>
      </w:r>
    </w:p>
    <w:p>
      <w:pPr>
        <w:pStyle w:val="19"/>
        <w:numPr>
          <w:ilvl w:val="0"/>
          <w:numId w:val="14"/>
        </w:numPr>
        <w:spacing w:after="0" w:line="360" w:lineRule="auto"/>
        <w:ind w:left="0" w:firstLine="284"/>
        <w:jc w:val="both"/>
        <w:rPr>
          <w:rFonts w:cstheme="minorHAnsi"/>
        </w:rPr>
      </w:pPr>
      <w:r>
        <w:rPr>
          <w:rFonts w:cstheme="minorHAnsi"/>
        </w:rPr>
        <w:t>Deve ser facilmente acionado pelo coordenador do PAE;</w:t>
      </w:r>
    </w:p>
    <w:p>
      <w:pPr>
        <w:pStyle w:val="19"/>
        <w:numPr>
          <w:ilvl w:val="0"/>
          <w:numId w:val="14"/>
        </w:numPr>
        <w:spacing w:after="0" w:line="360" w:lineRule="auto"/>
        <w:ind w:left="0" w:firstLine="284"/>
        <w:jc w:val="both"/>
        <w:rPr>
          <w:rFonts w:cstheme="minorHAnsi"/>
        </w:rPr>
      </w:pPr>
      <w:r>
        <w:rPr>
          <w:rFonts w:cstheme="minorHAnsi"/>
        </w:rPr>
        <w:t>Há de ser capaz de alcançar toda a população potencialmente inundável na ZAS;</w:t>
      </w:r>
    </w:p>
    <w:p>
      <w:pPr>
        <w:pStyle w:val="19"/>
        <w:numPr>
          <w:ilvl w:val="0"/>
          <w:numId w:val="14"/>
        </w:numPr>
        <w:spacing w:after="0" w:line="360" w:lineRule="auto"/>
        <w:ind w:left="0" w:firstLine="284"/>
        <w:jc w:val="both"/>
        <w:rPr>
          <w:rFonts w:cstheme="minorHAnsi"/>
        </w:rPr>
      </w:pPr>
      <w:r>
        <w:rPr>
          <w:rFonts w:cstheme="minorHAnsi"/>
        </w:rPr>
        <w:t>O sistema de comunicação do PAE não deverá ser confundido com outros sistemas de alerta existentes na região;</w:t>
      </w:r>
    </w:p>
    <w:p>
      <w:pPr>
        <w:pStyle w:val="19"/>
        <w:numPr>
          <w:ilvl w:val="0"/>
          <w:numId w:val="14"/>
        </w:numPr>
        <w:spacing w:after="0" w:line="360" w:lineRule="auto"/>
        <w:ind w:left="0" w:firstLine="284"/>
        <w:jc w:val="both"/>
        <w:rPr>
          <w:rFonts w:cstheme="minorHAnsi"/>
        </w:rPr>
      </w:pPr>
      <w:r>
        <w:rPr>
          <w:rFonts w:cstheme="minorHAnsi"/>
        </w:rPr>
        <w:t>Garantir a inexistência de falsos alarmes.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Zona de Impacto Direto – ZID</w:t>
      </w:r>
    </w:p>
    <w:p>
      <w:pPr>
        <w:spacing w:after="0" w:line="360" w:lineRule="auto"/>
        <w:jc w:val="both"/>
        <w:rPr>
          <w:rFonts w:cstheme="minorHAnsi"/>
        </w:rPr>
      </w:pPr>
      <w:r>
        <w:rPr>
          <w:rFonts w:cstheme="minorHAnsi"/>
        </w:rPr>
        <w:t>Será definido em todo o estudo as Zonas de Impacto Direto - ZIDs, a área de impacto potencial é o elemento fundamental do Plano de Contingência, gerada a partir de uma simulação computadorizada de ruptura de barragem. Por meio dessa simulação pode-se estimar a área que poderá ser atingida caso haja uma ruptura da barragem.</w:t>
      </w:r>
    </w:p>
    <w:p>
      <w:pPr>
        <w:spacing w:after="0" w:line="360" w:lineRule="auto"/>
        <w:jc w:val="both"/>
        <w:rPr>
          <w:rFonts w:cstheme="minorHAnsi"/>
        </w:rPr>
      </w:pPr>
      <w:r>
        <w:rPr>
          <w:rFonts w:cstheme="minorHAnsi"/>
        </w:rPr>
        <w:t>Nesta Zona serão relatadas as seguintes informações:</w:t>
      </w:r>
    </w:p>
    <w:p>
      <w:pPr>
        <w:pStyle w:val="19"/>
        <w:numPr>
          <w:ilvl w:val="0"/>
          <w:numId w:val="14"/>
        </w:numPr>
        <w:spacing w:after="0" w:line="360" w:lineRule="auto"/>
        <w:ind w:left="0" w:firstLine="284"/>
        <w:jc w:val="both"/>
        <w:rPr>
          <w:rFonts w:cstheme="minorHAnsi"/>
        </w:rPr>
      </w:pPr>
      <w:r>
        <w:rPr>
          <w:rFonts w:cstheme="minorHAnsi"/>
        </w:rPr>
        <w:t>Número de edificações atingidas;</w:t>
      </w:r>
    </w:p>
    <w:p>
      <w:pPr>
        <w:pStyle w:val="19"/>
        <w:numPr>
          <w:ilvl w:val="0"/>
          <w:numId w:val="14"/>
        </w:numPr>
        <w:spacing w:after="0" w:line="360" w:lineRule="auto"/>
        <w:ind w:left="0" w:firstLine="284"/>
        <w:jc w:val="both"/>
        <w:rPr>
          <w:rFonts w:cstheme="minorHAnsi"/>
        </w:rPr>
      </w:pPr>
      <w:r>
        <w:rPr>
          <w:rFonts w:cstheme="minorHAnsi"/>
        </w:rPr>
        <w:t>Altura da lâmina d’água;</w:t>
      </w:r>
    </w:p>
    <w:p>
      <w:pPr>
        <w:pStyle w:val="19"/>
        <w:numPr>
          <w:ilvl w:val="0"/>
          <w:numId w:val="14"/>
        </w:numPr>
        <w:spacing w:after="0" w:line="360" w:lineRule="auto"/>
        <w:ind w:left="0" w:firstLine="284"/>
        <w:jc w:val="both"/>
        <w:rPr>
          <w:rFonts w:cstheme="minorHAnsi"/>
        </w:rPr>
      </w:pPr>
      <w:r>
        <w:rPr>
          <w:rFonts w:cstheme="minorHAnsi"/>
        </w:rPr>
        <w:t>Tempo de chegada da onda;</w:t>
      </w:r>
    </w:p>
    <w:p>
      <w:pPr>
        <w:pStyle w:val="19"/>
        <w:numPr>
          <w:ilvl w:val="0"/>
          <w:numId w:val="14"/>
        </w:numPr>
        <w:spacing w:after="0" w:line="360" w:lineRule="auto"/>
        <w:ind w:left="0" w:firstLine="284"/>
        <w:jc w:val="both"/>
        <w:rPr>
          <w:rFonts w:cstheme="minorHAnsi"/>
        </w:rPr>
      </w:pPr>
      <w:r>
        <w:rPr>
          <w:rFonts w:cstheme="minorHAnsi"/>
        </w:rPr>
        <w:t>Velocidade da onda;</w:t>
      </w:r>
    </w:p>
    <w:p>
      <w:pPr>
        <w:pStyle w:val="19"/>
        <w:numPr>
          <w:ilvl w:val="0"/>
          <w:numId w:val="14"/>
        </w:numPr>
        <w:spacing w:after="0" w:line="360" w:lineRule="auto"/>
        <w:ind w:left="0" w:firstLine="284"/>
        <w:jc w:val="both"/>
        <w:rPr>
          <w:rFonts w:cstheme="minorHAnsi"/>
        </w:rPr>
      </w:pPr>
      <w:r>
        <w:rPr>
          <w:rFonts w:cstheme="minorHAnsi"/>
        </w:rPr>
        <w:t>Risco hidrodinâmico;</w:t>
      </w:r>
    </w:p>
    <w:p>
      <w:pPr>
        <w:pStyle w:val="19"/>
        <w:numPr>
          <w:ilvl w:val="0"/>
          <w:numId w:val="14"/>
        </w:numPr>
        <w:spacing w:after="0" w:line="360" w:lineRule="auto"/>
        <w:ind w:left="0" w:firstLine="284"/>
        <w:jc w:val="both"/>
        <w:rPr>
          <w:rFonts w:cstheme="minorHAnsi"/>
        </w:rPr>
      </w:pPr>
      <w:r>
        <w:rPr>
          <w:rFonts w:cstheme="minorHAnsi"/>
        </w:rPr>
        <w:t>Rotas de fuga; e</w:t>
      </w:r>
    </w:p>
    <w:p>
      <w:pPr>
        <w:pStyle w:val="19"/>
        <w:numPr>
          <w:ilvl w:val="0"/>
          <w:numId w:val="14"/>
        </w:numPr>
        <w:spacing w:after="0" w:line="360" w:lineRule="auto"/>
        <w:ind w:left="0" w:firstLine="284"/>
        <w:jc w:val="both"/>
        <w:rPr>
          <w:rFonts w:cstheme="minorHAnsi"/>
        </w:rPr>
      </w:pPr>
      <w:r>
        <w:rPr>
          <w:rFonts w:cstheme="minorHAnsi"/>
        </w:rPr>
        <w:t>Pontos de encontro.</w:t>
      </w:r>
    </w:p>
    <w:p>
      <w:pPr>
        <w:pStyle w:val="6"/>
        <w:spacing w:before="8"/>
        <w:rPr>
          <w:rFonts w:asciiTheme="minorHAnsi" w:hAnsiTheme="minorHAnsi" w:cstheme="minorHAnsi"/>
        </w:rPr>
      </w:pPr>
    </w:p>
    <w:p>
      <w:pPr>
        <w:spacing w:after="0" w:line="360" w:lineRule="auto"/>
        <w:jc w:val="both"/>
        <w:rPr>
          <w:rFonts w:cstheme="minorHAnsi"/>
        </w:rPr>
      </w:pPr>
      <w:r>
        <w:rPr>
          <w:rFonts w:cstheme="minorHAnsi"/>
        </w:rPr>
        <w:t>Informações estas fundamentais para defesa civil elaborar seu Plano de Contingência para as Zonas de Impacto Direto dos possíveis municípios atingidos.</w:t>
      </w:r>
    </w:p>
    <w:p>
      <w:pPr>
        <w:pStyle w:val="19"/>
        <w:numPr>
          <w:ilvl w:val="0"/>
          <w:numId w:val="26"/>
        </w:numPr>
        <w:tabs>
          <w:tab w:val="left" w:pos="426"/>
        </w:tabs>
        <w:spacing w:before="240" w:after="0" w:line="360" w:lineRule="auto"/>
        <w:ind w:left="425" w:hanging="425"/>
        <w:contextualSpacing w:val="0"/>
        <w:jc w:val="both"/>
        <w:rPr>
          <w:rFonts w:cstheme="minorHAnsi"/>
          <w:b/>
        </w:rPr>
      </w:pPr>
      <w:r>
        <w:rPr>
          <w:rFonts w:cstheme="minorHAnsi"/>
          <w:b/>
        </w:rPr>
        <w:t>Rotas de Fuga e Ponto de Encontro</w:t>
      </w:r>
    </w:p>
    <w:p>
      <w:pPr>
        <w:spacing w:after="0" w:line="360" w:lineRule="auto"/>
        <w:jc w:val="both"/>
        <w:rPr>
          <w:rFonts w:cstheme="minorHAnsi"/>
        </w:rPr>
      </w:pPr>
      <w:r>
        <w:rPr>
          <w:rFonts w:cstheme="minorHAnsi"/>
        </w:rPr>
        <w:t>Sobre o mapa de inundação serão desenvolvidas rotas de fuga com indicação dos principais acessos, bem como áreas de segurança, trajeto a ser seguido pela população em necessidade de evacuação e pontos de interesse como hospitais, defesa civil, bombeiros, polícia militar, bem como locais que possam ser utilizados como áreas de apoio que possam servir de abrigos.</w:t>
      </w:r>
    </w:p>
    <w:p>
      <w:pPr>
        <w:spacing w:after="0" w:line="360" w:lineRule="auto"/>
        <w:jc w:val="both"/>
        <w:rPr>
          <w:rFonts w:cstheme="minorHAnsi"/>
        </w:rPr>
      </w:pPr>
      <w:r>
        <w:rPr>
          <w:rFonts w:cstheme="minorHAnsi"/>
        </w:rPr>
        <w:t>Para cada Zona de Impacto Direto será definido um ponto de encontro.</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15" w:name="_Toc3992694"/>
      <w:r>
        <w:rPr>
          <w:rFonts w:eastAsia="Times New Roman" w:asciiTheme="minorHAnsi" w:hAnsiTheme="minorHAnsi" w:cstheme="minorHAnsi"/>
          <w:b/>
          <w:color w:val="auto"/>
          <w:sz w:val="24"/>
          <w:szCs w:val="24"/>
        </w:rPr>
        <w:t>Levantamento de Campo</w:t>
      </w:r>
      <w:bookmarkEnd w:id="15"/>
    </w:p>
    <w:p>
      <w:pPr>
        <w:pStyle w:val="3"/>
        <w:numPr>
          <w:ilvl w:val="1"/>
          <w:numId w:val="29"/>
        </w:numPr>
        <w:spacing w:before="240" w:line="480" w:lineRule="auto"/>
        <w:rPr>
          <w:rFonts w:eastAsia="Times New Roman" w:asciiTheme="minorHAnsi" w:hAnsiTheme="minorHAnsi" w:cstheme="minorHAnsi"/>
          <w:b/>
          <w:color w:val="auto"/>
          <w:sz w:val="24"/>
          <w:szCs w:val="24"/>
        </w:rPr>
      </w:pPr>
      <w:bookmarkStart w:id="16" w:name="_bookmark12"/>
      <w:bookmarkEnd w:id="16"/>
      <w:bookmarkStart w:id="17" w:name="_Toc3992695"/>
      <w:r>
        <w:rPr>
          <w:rFonts w:eastAsia="Times New Roman" w:asciiTheme="minorHAnsi" w:hAnsiTheme="minorHAnsi" w:cstheme="minorHAnsi"/>
          <w:b/>
          <w:color w:val="auto"/>
          <w:sz w:val="24"/>
          <w:szCs w:val="24"/>
        </w:rPr>
        <w:t>Levantamento Topográfico</w:t>
      </w:r>
      <w:bookmarkEnd w:id="17"/>
    </w:p>
    <w:p>
      <w:pPr>
        <w:spacing w:after="0" w:line="360" w:lineRule="auto"/>
        <w:jc w:val="both"/>
        <w:rPr>
          <w:rFonts w:cstheme="minorHAnsi"/>
        </w:rPr>
      </w:pPr>
      <w:r>
        <w:rPr>
          <w:rFonts w:cstheme="minorHAnsi"/>
        </w:rPr>
        <w:t>Na primeira etapa serão identificados as RRNN do IBGE mais próximas às áreas de estudo, diretamente na página da Diretoria de Geodésia do IBGE que disponibiliza em seu Banco de Dados Geodésicos - BDG informações altimétricas, planimétricas e gravimétricas. A rede altimétrica do Sistema Geodésico Brasileiro - SGB contém os dados das estações de Referência de Nível - RN. Dentre as informações disponibilizadas aos usuários do SGB, estão os valores das altitudes ortométricas com suas precisões (desvio padrão), além do código da estação, da nomenclatura da estação, o método de levantamento, os dados planimétricos, altimétricos e gravimétricos, as datas dos ajustamentos das redes altimétricas e planimétricas, o referencial geodésico das coordenadas e a localização, descrição e imagem do local.</w:t>
      </w:r>
    </w:p>
    <w:p>
      <w:pPr>
        <w:spacing w:after="0" w:line="360" w:lineRule="auto"/>
        <w:jc w:val="both"/>
        <w:rPr>
          <w:rFonts w:cstheme="minorHAnsi"/>
        </w:rPr>
      </w:pPr>
      <w:r>
        <w:rPr>
          <w:rFonts w:cstheme="minorHAnsi"/>
        </w:rPr>
        <w:t>Serão levantados também (caso existam) referências de nível que foram instaladas no entorno do empreendimento pela CONTRATANTE.</w:t>
      </w:r>
    </w:p>
    <w:p>
      <w:pPr>
        <w:spacing w:after="0" w:line="360" w:lineRule="auto"/>
        <w:jc w:val="both"/>
        <w:rPr>
          <w:rFonts w:cstheme="minorHAnsi"/>
        </w:rPr>
      </w:pPr>
      <w:r>
        <w:rPr>
          <w:rFonts w:cstheme="minorHAnsi"/>
        </w:rPr>
        <w:t>Após o levantamento das referências de nível que serão utilizadas no levantamento será solicitado a CONTRATANTE a disponibilização de todo material que possa ser utilizado como apoio, mapas, desenhos topográficos, pontos georreferenciados, que contenham dados que possam ser aproveitados para a representação do terreno a jusante das barragens.</w:t>
      </w:r>
    </w:p>
    <w:p>
      <w:pPr>
        <w:spacing w:after="0" w:line="360" w:lineRule="auto"/>
        <w:jc w:val="both"/>
        <w:rPr>
          <w:rFonts w:cstheme="minorHAnsi"/>
        </w:rPr>
      </w:pPr>
      <w:r>
        <w:rPr>
          <w:rFonts w:cstheme="minorHAnsi"/>
        </w:rPr>
        <w:t>De posse de todos os dados disponibilizados pela CONTRATANTE e pesquisados no banco de dados do IBGE será iniciada a etapa de determinação dos pontos de levantamento, que será efetuada com base nos Sistemas GNSS, dentre eles o Global Positioning System - GPS, para fins de determinar as coordenadas geodésicas curvilíneas (latitude, longitude e altura geométrica) nos pontos de interesse localizados a jusante das barragens. Com base nas coordenadas geodésicas disponibilizadas para esta finalidade, as mesmas serão utilizadas como referência para os processamentos e com o valor da ondulação geoidal proveniente dos valores encontrados no ponto de interesse.</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18" w:name="_bookmark13"/>
      <w:bookmarkEnd w:id="18"/>
      <w:bookmarkStart w:id="19" w:name="_Toc3992696"/>
      <w:r>
        <w:rPr>
          <w:rFonts w:eastAsia="Times New Roman" w:asciiTheme="minorHAnsi" w:hAnsiTheme="minorHAnsi" w:cstheme="minorHAnsi"/>
          <w:b/>
          <w:color w:val="auto"/>
        </w:rPr>
        <w:t>Processamento dos Dados</w:t>
      </w:r>
      <w:bookmarkEnd w:id="19"/>
    </w:p>
    <w:p>
      <w:pPr>
        <w:spacing w:after="0" w:line="360" w:lineRule="auto"/>
        <w:jc w:val="both"/>
        <w:rPr>
          <w:rFonts w:cstheme="minorHAnsi"/>
        </w:rPr>
      </w:pPr>
      <w:r>
        <w:rPr>
          <w:rFonts w:cstheme="minorHAnsi"/>
        </w:rPr>
        <w:t xml:space="preserve">O pós-processamento dos dados GNSS coletados em ambos os trechos será realizado com o programa MAGNETTM TOOLS (versão 2.7) da Topcon, Copyright 211-2014 e software livre, RTKLIB (versão 2.4.2), disponível em </w:t>
      </w:r>
      <w:r>
        <w:fldChar w:fldCharType="begin"/>
      </w:r>
      <w:r>
        <w:instrText xml:space="preserve"> HYPERLINK "http://www.rtklib.com/" </w:instrText>
      </w:r>
      <w:r>
        <w:fldChar w:fldCharType="separate"/>
      </w:r>
      <w:r>
        <w:rPr>
          <w:rFonts w:cstheme="minorHAnsi"/>
        </w:rPr>
        <w:t>http://www.rtklib.com/</w:t>
      </w:r>
      <w:r>
        <w:rPr>
          <w:rFonts w:cstheme="minorHAnsi"/>
        </w:rPr>
        <w:fldChar w:fldCharType="end"/>
      </w:r>
      <w:r>
        <w:rPr>
          <w:rFonts w:cstheme="minorHAnsi"/>
        </w:rPr>
        <w:t>, também será utilizado nos processamentos.</w:t>
      </w:r>
    </w:p>
    <w:p>
      <w:pPr>
        <w:pStyle w:val="4"/>
        <w:numPr>
          <w:ilvl w:val="2"/>
          <w:numId w:val="15"/>
        </w:numPr>
        <w:spacing w:before="240" w:line="480" w:lineRule="auto"/>
        <w:ind w:left="567" w:hanging="567"/>
        <w:rPr>
          <w:rFonts w:eastAsia="Times New Roman" w:asciiTheme="minorHAnsi" w:hAnsiTheme="minorHAnsi" w:cstheme="minorHAnsi"/>
          <w:b/>
          <w:color w:val="auto"/>
        </w:rPr>
      </w:pPr>
      <w:bookmarkStart w:id="20" w:name="_bookmark15"/>
      <w:bookmarkEnd w:id="20"/>
      <w:bookmarkStart w:id="21" w:name="_Toc3992697"/>
      <w:r>
        <w:rPr>
          <w:rFonts w:eastAsia="Times New Roman" w:asciiTheme="minorHAnsi" w:hAnsiTheme="minorHAnsi" w:cstheme="minorHAnsi"/>
          <w:b/>
          <w:color w:val="auto"/>
        </w:rPr>
        <w:t>Planejamento do Trabalho</w:t>
      </w:r>
      <w:bookmarkEnd w:id="21"/>
    </w:p>
    <w:p>
      <w:pPr>
        <w:spacing w:after="0" w:line="360" w:lineRule="auto"/>
        <w:jc w:val="both"/>
        <w:rPr>
          <w:rFonts w:cstheme="minorHAnsi"/>
        </w:rPr>
      </w:pPr>
      <w:r>
        <w:rPr>
          <w:rFonts w:cstheme="minorHAnsi"/>
        </w:rPr>
        <w:t>A seguir descrição das etapas que compõem todo o processo levantamento topográfico:</w:t>
      </w:r>
    </w:p>
    <w:p>
      <w:pPr>
        <w:pStyle w:val="19"/>
        <w:numPr>
          <w:ilvl w:val="0"/>
          <w:numId w:val="30"/>
        </w:numPr>
        <w:tabs>
          <w:tab w:val="left" w:pos="426"/>
        </w:tabs>
        <w:spacing w:before="240" w:after="0" w:line="360" w:lineRule="auto"/>
        <w:ind w:left="425" w:hanging="425"/>
        <w:contextualSpacing w:val="0"/>
        <w:jc w:val="both"/>
        <w:rPr>
          <w:rFonts w:cstheme="minorHAnsi"/>
          <w:b/>
        </w:rPr>
      </w:pPr>
      <w:r>
        <w:rPr>
          <w:rFonts w:cstheme="minorHAnsi"/>
          <w:b/>
        </w:rPr>
        <w:t>Definição das estações de referência</w:t>
      </w:r>
    </w:p>
    <w:p>
      <w:pPr>
        <w:pStyle w:val="19"/>
        <w:numPr>
          <w:ilvl w:val="0"/>
          <w:numId w:val="31"/>
        </w:numPr>
        <w:spacing w:after="0" w:line="360" w:lineRule="auto"/>
        <w:ind w:left="0" w:firstLine="284"/>
        <w:contextualSpacing w:val="0"/>
        <w:jc w:val="both"/>
        <w:rPr>
          <w:rFonts w:cstheme="minorHAnsi"/>
        </w:rPr>
      </w:pPr>
      <w:r>
        <w:rPr>
          <w:rFonts w:cstheme="minorHAnsi"/>
        </w:rPr>
        <w:t>Localização/identificação as RRNN do IBGE mais próximas;</w:t>
      </w:r>
    </w:p>
    <w:p>
      <w:pPr>
        <w:pStyle w:val="19"/>
        <w:numPr>
          <w:ilvl w:val="0"/>
          <w:numId w:val="31"/>
        </w:numPr>
        <w:spacing w:after="0" w:line="360" w:lineRule="auto"/>
        <w:ind w:left="0" w:firstLine="284"/>
        <w:contextualSpacing w:val="0"/>
        <w:jc w:val="both"/>
        <w:rPr>
          <w:rFonts w:cstheme="minorHAnsi"/>
        </w:rPr>
      </w:pPr>
      <w:r>
        <w:rPr>
          <w:rFonts w:cstheme="minorHAnsi"/>
        </w:rPr>
        <w:t>Levantamento de valores antigos e atuais de altitudes ortométricas;</w:t>
      </w:r>
    </w:p>
    <w:p>
      <w:pPr>
        <w:pStyle w:val="19"/>
        <w:numPr>
          <w:ilvl w:val="0"/>
          <w:numId w:val="31"/>
        </w:numPr>
        <w:spacing w:after="0" w:line="360" w:lineRule="auto"/>
        <w:ind w:left="0" w:firstLine="284"/>
        <w:contextualSpacing w:val="0"/>
        <w:jc w:val="both"/>
        <w:rPr>
          <w:rFonts w:cstheme="minorHAnsi"/>
        </w:rPr>
      </w:pPr>
      <w:r>
        <w:rPr>
          <w:rFonts w:cstheme="minorHAnsi"/>
        </w:rPr>
        <w:t>Pesquisa e identificação de marcos remanescentes.</w:t>
      </w:r>
    </w:p>
    <w:p>
      <w:pPr>
        <w:pStyle w:val="19"/>
        <w:numPr>
          <w:ilvl w:val="0"/>
          <w:numId w:val="30"/>
        </w:numPr>
        <w:tabs>
          <w:tab w:val="left" w:pos="426"/>
        </w:tabs>
        <w:spacing w:before="240" w:after="0" w:line="360" w:lineRule="auto"/>
        <w:ind w:left="425" w:hanging="425"/>
        <w:contextualSpacing w:val="0"/>
        <w:jc w:val="both"/>
        <w:rPr>
          <w:rFonts w:cstheme="minorHAnsi"/>
          <w:b/>
        </w:rPr>
      </w:pPr>
      <w:r>
        <w:rPr>
          <w:rFonts w:cstheme="minorHAnsi"/>
          <w:b/>
        </w:rPr>
        <w:t>Arranjo e calibração dos equipamentos</w:t>
      </w:r>
    </w:p>
    <w:p>
      <w:pPr>
        <w:pStyle w:val="19"/>
        <w:numPr>
          <w:ilvl w:val="0"/>
          <w:numId w:val="31"/>
        </w:numPr>
        <w:spacing w:after="0" w:line="360" w:lineRule="auto"/>
        <w:ind w:left="0" w:firstLine="284"/>
        <w:contextualSpacing w:val="0"/>
        <w:jc w:val="both"/>
        <w:rPr>
          <w:rFonts w:cstheme="minorHAnsi"/>
        </w:rPr>
      </w:pPr>
      <w:r>
        <w:rPr>
          <w:rFonts w:cstheme="minorHAnsi"/>
        </w:rPr>
        <w:t>Aferição dos sistemas GPS e Níveis Digitais;</w:t>
      </w:r>
    </w:p>
    <w:p>
      <w:pPr>
        <w:pStyle w:val="19"/>
        <w:numPr>
          <w:ilvl w:val="0"/>
          <w:numId w:val="31"/>
        </w:numPr>
        <w:spacing w:after="0" w:line="360" w:lineRule="auto"/>
        <w:ind w:left="0" w:firstLine="284"/>
        <w:contextualSpacing w:val="0"/>
        <w:jc w:val="both"/>
        <w:rPr>
          <w:rFonts w:cstheme="minorHAnsi"/>
        </w:rPr>
      </w:pPr>
      <w:r>
        <w:rPr>
          <w:rFonts w:cstheme="minorHAnsi"/>
        </w:rPr>
        <w:t>Integração/comunicação dos equipamentos via software de coleta de dados; Delimitação da área do levantamento;</w:t>
      </w:r>
    </w:p>
    <w:p>
      <w:pPr>
        <w:pStyle w:val="19"/>
        <w:numPr>
          <w:ilvl w:val="0"/>
          <w:numId w:val="31"/>
        </w:numPr>
        <w:spacing w:after="0" w:line="360" w:lineRule="auto"/>
        <w:ind w:left="0" w:firstLine="284"/>
        <w:contextualSpacing w:val="0"/>
        <w:jc w:val="both"/>
        <w:rPr>
          <w:rFonts w:cstheme="minorHAnsi"/>
        </w:rPr>
      </w:pPr>
      <w:r>
        <w:rPr>
          <w:rFonts w:cstheme="minorHAnsi"/>
        </w:rPr>
        <w:t>Planejamento dos pontos a serem levantados.</w:t>
      </w:r>
    </w:p>
    <w:p>
      <w:pPr>
        <w:pStyle w:val="19"/>
        <w:numPr>
          <w:ilvl w:val="0"/>
          <w:numId w:val="30"/>
        </w:numPr>
        <w:tabs>
          <w:tab w:val="left" w:pos="426"/>
        </w:tabs>
        <w:spacing w:before="240" w:after="0" w:line="360" w:lineRule="auto"/>
        <w:ind w:left="426" w:hanging="426"/>
        <w:contextualSpacing w:val="0"/>
        <w:jc w:val="both"/>
        <w:rPr>
          <w:rFonts w:cstheme="minorHAnsi"/>
          <w:b/>
        </w:rPr>
      </w:pPr>
      <w:r>
        <w:rPr>
          <w:rFonts w:cstheme="minorHAnsi"/>
          <w:b/>
        </w:rPr>
        <w:t>Mobilização</w:t>
      </w:r>
    </w:p>
    <w:p>
      <w:pPr>
        <w:pStyle w:val="19"/>
        <w:numPr>
          <w:ilvl w:val="0"/>
          <w:numId w:val="31"/>
        </w:numPr>
        <w:spacing w:after="0" w:line="360" w:lineRule="auto"/>
        <w:ind w:left="0" w:firstLine="284"/>
        <w:contextualSpacing w:val="0"/>
        <w:jc w:val="both"/>
        <w:rPr>
          <w:rFonts w:cstheme="minorHAnsi"/>
        </w:rPr>
      </w:pPr>
      <w:r>
        <w:rPr>
          <w:rFonts w:cstheme="minorHAnsi"/>
        </w:rPr>
        <w:t>Preparo dos equipamentos;</w:t>
      </w:r>
    </w:p>
    <w:p>
      <w:pPr>
        <w:pStyle w:val="19"/>
        <w:numPr>
          <w:ilvl w:val="0"/>
          <w:numId w:val="31"/>
        </w:numPr>
        <w:spacing w:after="0" w:line="360" w:lineRule="auto"/>
        <w:ind w:left="0" w:firstLine="284"/>
        <w:contextualSpacing w:val="0"/>
        <w:jc w:val="both"/>
        <w:rPr>
          <w:rFonts w:cstheme="minorHAnsi"/>
        </w:rPr>
      </w:pPr>
      <w:r>
        <w:rPr>
          <w:rFonts w:cstheme="minorHAnsi"/>
        </w:rPr>
        <w:t>Instrução à equipe de campo (4 equipes formadas por 1 técnico e 1 auxiliares cada, sob supervisão de 1 engenheiro);</w:t>
      </w:r>
    </w:p>
    <w:p>
      <w:pPr>
        <w:pStyle w:val="19"/>
        <w:numPr>
          <w:ilvl w:val="0"/>
          <w:numId w:val="31"/>
        </w:numPr>
        <w:spacing w:after="0" w:line="360" w:lineRule="auto"/>
        <w:ind w:left="0" w:firstLine="284"/>
        <w:contextualSpacing w:val="0"/>
        <w:jc w:val="both"/>
        <w:rPr>
          <w:rFonts w:cstheme="minorHAnsi"/>
        </w:rPr>
      </w:pPr>
      <w:r>
        <w:rPr>
          <w:rFonts w:cstheme="minorHAnsi"/>
        </w:rPr>
        <w:t>Deslocamento via terrestre até a área do levantamento.</w:t>
      </w:r>
    </w:p>
    <w:p>
      <w:pPr>
        <w:pStyle w:val="19"/>
        <w:numPr>
          <w:ilvl w:val="0"/>
          <w:numId w:val="0"/>
        </w:numPr>
        <w:spacing w:after="0" w:line="360" w:lineRule="auto"/>
        <w:ind w:left="284" w:leftChars="0" w:right="0" w:rightChars="0"/>
        <w:contextualSpacing w:val="0"/>
        <w:jc w:val="both"/>
        <w:rPr>
          <w:rFonts w:cstheme="minorHAnsi"/>
        </w:rPr>
      </w:pPr>
    </w:p>
    <w:p>
      <w:pPr>
        <w:pStyle w:val="19"/>
        <w:numPr>
          <w:ilvl w:val="0"/>
          <w:numId w:val="30"/>
        </w:numPr>
        <w:tabs>
          <w:tab w:val="left" w:pos="426"/>
        </w:tabs>
        <w:spacing w:before="240" w:after="0" w:line="360" w:lineRule="auto"/>
        <w:ind w:left="426" w:hanging="426"/>
        <w:contextualSpacing w:val="0"/>
        <w:jc w:val="both"/>
        <w:rPr>
          <w:rFonts w:cstheme="minorHAnsi"/>
          <w:b/>
        </w:rPr>
      </w:pPr>
      <w:r>
        <w:rPr>
          <w:rFonts w:cstheme="minorHAnsi"/>
          <w:b/>
        </w:rPr>
        <w:t>Execução Coleta GNSS</w:t>
      </w:r>
    </w:p>
    <w:p>
      <w:pPr>
        <w:pStyle w:val="19"/>
        <w:numPr>
          <w:ilvl w:val="0"/>
          <w:numId w:val="31"/>
        </w:numPr>
        <w:spacing w:after="0" w:line="360" w:lineRule="auto"/>
        <w:ind w:left="0" w:firstLine="284"/>
        <w:contextualSpacing w:val="0"/>
        <w:jc w:val="both"/>
        <w:rPr>
          <w:rFonts w:cstheme="minorHAnsi"/>
        </w:rPr>
      </w:pPr>
      <w:r>
        <w:rPr>
          <w:rFonts w:cstheme="minorHAnsi"/>
        </w:rPr>
        <w:t>Execução do rastreio dos trechos pré-determinados.</w:t>
      </w:r>
    </w:p>
    <w:p>
      <w:pPr>
        <w:pStyle w:val="19"/>
        <w:numPr>
          <w:ilvl w:val="0"/>
          <w:numId w:val="30"/>
        </w:numPr>
        <w:tabs>
          <w:tab w:val="left" w:pos="426"/>
        </w:tabs>
        <w:spacing w:before="240" w:after="0" w:line="360" w:lineRule="auto"/>
        <w:ind w:left="426" w:hanging="426"/>
        <w:contextualSpacing w:val="0"/>
        <w:jc w:val="both"/>
        <w:rPr>
          <w:rFonts w:cstheme="minorHAnsi"/>
          <w:b/>
        </w:rPr>
      </w:pPr>
      <w:r>
        <w:rPr>
          <w:rFonts w:cstheme="minorHAnsi"/>
          <w:b/>
        </w:rPr>
        <w:t>Processamento dos dados</w:t>
      </w:r>
    </w:p>
    <w:p>
      <w:pPr>
        <w:pStyle w:val="19"/>
        <w:numPr>
          <w:ilvl w:val="0"/>
          <w:numId w:val="14"/>
        </w:numPr>
        <w:spacing w:after="0" w:line="360" w:lineRule="auto"/>
        <w:ind w:left="0" w:firstLine="284"/>
        <w:contextualSpacing w:val="0"/>
        <w:jc w:val="both"/>
        <w:rPr>
          <w:rFonts w:cstheme="minorHAnsi"/>
        </w:rPr>
      </w:pPr>
      <w:r>
        <w:rPr>
          <w:rFonts w:cstheme="minorHAnsi"/>
        </w:rPr>
        <w:t>Processamento dos dados oriundos das ocupações GNSS.</w:t>
      </w:r>
    </w:p>
    <w:p>
      <w:pPr>
        <w:pStyle w:val="19"/>
        <w:numPr>
          <w:ilvl w:val="0"/>
          <w:numId w:val="30"/>
        </w:numPr>
        <w:tabs>
          <w:tab w:val="left" w:pos="426"/>
        </w:tabs>
        <w:spacing w:before="240" w:after="0" w:line="360" w:lineRule="auto"/>
        <w:ind w:left="426" w:hanging="426"/>
        <w:contextualSpacing w:val="0"/>
        <w:jc w:val="both"/>
        <w:rPr>
          <w:rFonts w:cstheme="minorHAnsi"/>
          <w:b/>
        </w:rPr>
      </w:pPr>
      <w:r>
        <w:rPr>
          <w:rFonts w:cstheme="minorHAnsi"/>
          <w:b/>
        </w:rPr>
        <w:t>Elaboração de monografias dos vértices</w:t>
      </w:r>
    </w:p>
    <w:p>
      <w:pPr>
        <w:pStyle w:val="19"/>
        <w:numPr>
          <w:ilvl w:val="0"/>
          <w:numId w:val="14"/>
        </w:numPr>
        <w:spacing w:after="0" w:line="360" w:lineRule="auto"/>
        <w:ind w:left="0" w:firstLine="284"/>
        <w:contextualSpacing w:val="0"/>
        <w:jc w:val="both"/>
        <w:rPr>
          <w:rFonts w:cstheme="minorHAnsi"/>
        </w:rPr>
      </w:pPr>
      <w:r>
        <w:rPr>
          <w:rFonts w:cstheme="minorHAnsi"/>
        </w:rPr>
        <w:t>Elaboração das monografias dos vértices seguindo padrões estabelecidos;</w:t>
      </w:r>
    </w:p>
    <w:p>
      <w:pPr>
        <w:pStyle w:val="19"/>
        <w:numPr>
          <w:ilvl w:val="0"/>
          <w:numId w:val="30"/>
        </w:numPr>
        <w:tabs>
          <w:tab w:val="left" w:pos="426"/>
        </w:tabs>
        <w:spacing w:before="240" w:after="0" w:line="360" w:lineRule="auto"/>
        <w:ind w:left="426" w:hanging="426"/>
        <w:contextualSpacing w:val="0"/>
        <w:jc w:val="both"/>
        <w:rPr>
          <w:rFonts w:cstheme="minorHAnsi"/>
          <w:b/>
        </w:rPr>
      </w:pPr>
      <w:r>
        <w:rPr>
          <w:rFonts w:cstheme="minorHAnsi"/>
          <w:b/>
        </w:rPr>
        <w:t>Relatório de pós-processamento</w:t>
      </w:r>
    </w:p>
    <w:p>
      <w:pPr>
        <w:pStyle w:val="19"/>
        <w:numPr>
          <w:ilvl w:val="0"/>
          <w:numId w:val="14"/>
        </w:numPr>
        <w:spacing w:after="0" w:line="360" w:lineRule="auto"/>
        <w:ind w:left="0" w:firstLine="284"/>
        <w:contextualSpacing w:val="0"/>
        <w:jc w:val="both"/>
        <w:rPr>
          <w:rFonts w:cstheme="minorHAnsi"/>
        </w:rPr>
      </w:pPr>
      <w:r>
        <w:rPr>
          <w:rFonts w:cstheme="minorHAnsi"/>
        </w:rPr>
        <w:t>Relatório de pós-processamento, exportados diretamente dos softwares.</w:t>
      </w:r>
    </w:p>
    <w:p>
      <w:pPr>
        <w:pStyle w:val="3"/>
        <w:numPr>
          <w:ilvl w:val="1"/>
          <w:numId w:val="29"/>
        </w:numPr>
        <w:spacing w:before="240" w:line="480" w:lineRule="auto"/>
        <w:rPr>
          <w:rFonts w:eastAsia="Times New Roman" w:asciiTheme="minorHAnsi" w:hAnsiTheme="minorHAnsi" w:cstheme="minorHAnsi"/>
          <w:b/>
          <w:color w:val="auto"/>
          <w:sz w:val="24"/>
          <w:szCs w:val="24"/>
        </w:rPr>
      </w:pPr>
      <w:bookmarkStart w:id="22" w:name="_bookmark17"/>
      <w:bookmarkEnd w:id="22"/>
      <w:bookmarkStart w:id="23" w:name="_Toc3992698"/>
      <w:r>
        <w:rPr>
          <w:rFonts w:eastAsia="Times New Roman" w:asciiTheme="minorHAnsi" w:hAnsiTheme="minorHAnsi" w:cstheme="minorHAnsi"/>
          <w:b/>
          <w:color w:val="auto"/>
          <w:sz w:val="24"/>
          <w:szCs w:val="24"/>
        </w:rPr>
        <w:t>Levantamento Batimétrico</w:t>
      </w:r>
      <w:bookmarkEnd w:id="23"/>
    </w:p>
    <w:p>
      <w:pPr>
        <w:spacing w:after="0" w:line="360" w:lineRule="auto"/>
        <w:jc w:val="both"/>
        <w:rPr>
          <w:rFonts w:cstheme="minorHAnsi"/>
        </w:rPr>
      </w:pPr>
      <w:r>
        <w:rPr>
          <w:rFonts w:cstheme="minorHAnsi"/>
        </w:rPr>
        <w:t>O posicionamento das embarcações será executado em tempo real, com sistema GNSS RTK com base de apoio estabelecida da RVG ou através de posicionamento DGPS, com alta precisão de posicionamento em ambos os casos.</w:t>
      </w:r>
    </w:p>
    <w:p>
      <w:pPr>
        <w:spacing w:after="0" w:line="360" w:lineRule="auto"/>
        <w:jc w:val="both"/>
        <w:rPr>
          <w:rFonts w:cstheme="minorHAnsi"/>
        </w:rPr>
      </w:pPr>
      <w:r>
        <w:rPr>
          <w:rFonts w:cstheme="minorHAnsi"/>
        </w:rPr>
        <w:t>Todas as sondagens utilizarão sistema Mono Feixe com precisão de 0.01m e dupla frequência, High band 100kHz e Low band 24kHz---50kHz, com saída digital por interface Ethernet. A frequência de varredura será em trechos de até 20m para os reservatórios, e para os levantamentos topobatrimétricos à jusante das barragens deverá respeitar a distância máxima de até 100m.</w:t>
      </w:r>
    </w:p>
    <w:p>
      <w:pPr>
        <w:pStyle w:val="4"/>
        <w:numPr>
          <w:ilvl w:val="2"/>
          <w:numId w:val="29"/>
        </w:numPr>
        <w:spacing w:before="240" w:line="480" w:lineRule="auto"/>
        <w:rPr>
          <w:rFonts w:eastAsia="Times New Roman" w:asciiTheme="minorHAnsi" w:hAnsiTheme="minorHAnsi" w:cstheme="minorHAnsi"/>
          <w:b/>
          <w:color w:val="auto"/>
        </w:rPr>
      </w:pPr>
      <w:bookmarkStart w:id="24" w:name="_bookmark18"/>
      <w:bookmarkEnd w:id="24"/>
      <w:bookmarkStart w:id="25" w:name="_Toc3992699"/>
      <w:r>
        <w:rPr>
          <w:rFonts w:eastAsia="Times New Roman" w:asciiTheme="minorHAnsi" w:hAnsiTheme="minorHAnsi" w:cstheme="minorHAnsi"/>
          <w:b/>
          <w:color w:val="auto"/>
        </w:rPr>
        <w:t>Apresentação dos Dados</w:t>
      </w:r>
      <w:bookmarkEnd w:id="25"/>
    </w:p>
    <w:p>
      <w:pPr>
        <w:spacing w:after="0" w:line="360" w:lineRule="auto"/>
        <w:jc w:val="both"/>
        <w:rPr>
          <w:rFonts w:cstheme="minorHAnsi"/>
        </w:rPr>
      </w:pPr>
      <w:r>
        <w:rPr>
          <w:rFonts w:cstheme="minorHAnsi"/>
        </w:rPr>
        <w:t>Os dados poderão ser compartilhados por sistema em nuvem ou enviados em mídia óptica, acompanhados de relatório das atividades de campo. Poderão também ser marcadas reuniões de equipe a qualquer tempo, mediante aviso prévio, para quaisquer esclarecimentos ou alterações.</w:t>
      </w:r>
    </w:p>
    <w:p>
      <w:pPr>
        <w:spacing w:after="0" w:line="360" w:lineRule="auto"/>
        <w:jc w:val="both"/>
        <w:rPr>
          <w:rFonts w:cstheme="minorHAnsi"/>
        </w:rPr>
      </w:pPr>
      <w:r>
        <w:rPr>
          <w:rFonts w:cstheme="minorHAnsi"/>
        </w:rPr>
        <w:t>A relação dos produtos esperados segue abaixo:</w:t>
      </w:r>
    </w:p>
    <w:p>
      <w:pPr>
        <w:pStyle w:val="19"/>
        <w:numPr>
          <w:ilvl w:val="0"/>
          <w:numId w:val="32"/>
        </w:numPr>
        <w:spacing w:before="240" w:after="0" w:line="360" w:lineRule="auto"/>
        <w:ind w:left="425" w:hanging="425"/>
        <w:contextualSpacing w:val="0"/>
        <w:jc w:val="both"/>
        <w:rPr>
          <w:rFonts w:cstheme="minorHAnsi"/>
        </w:rPr>
      </w:pPr>
      <w:r>
        <w:rPr>
          <w:rFonts w:eastAsia="Times New Roman" w:cstheme="minorHAnsi"/>
          <w:b/>
        </w:rPr>
        <w:t>Mapeamento da área molhada do reservatório</w:t>
      </w:r>
    </w:p>
    <w:p>
      <w:pPr>
        <w:pStyle w:val="19"/>
        <w:numPr>
          <w:ilvl w:val="0"/>
          <w:numId w:val="33"/>
        </w:numPr>
        <w:spacing w:after="0" w:line="360" w:lineRule="auto"/>
        <w:jc w:val="both"/>
        <w:rPr>
          <w:rFonts w:cstheme="minorHAnsi"/>
        </w:rPr>
      </w:pPr>
      <w:r>
        <w:rPr>
          <w:rFonts w:cstheme="minorHAnsi"/>
        </w:rPr>
        <w:t>Layer das seções topobatimétricas planejadas;</w:t>
      </w:r>
    </w:p>
    <w:p>
      <w:pPr>
        <w:pStyle w:val="19"/>
        <w:numPr>
          <w:ilvl w:val="0"/>
          <w:numId w:val="33"/>
        </w:numPr>
        <w:spacing w:after="0" w:line="360" w:lineRule="auto"/>
        <w:jc w:val="both"/>
        <w:rPr>
          <w:rFonts w:cstheme="minorHAnsi"/>
        </w:rPr>
      </w:pPr>
      <w:r>
        <w:rPr>
          <w:rFonts w:cstheme="minorHAnsi"/>
        </w:rPr>
        <w:t>Ecogramas e arquivos digitais de cada linha de sondagem;</w:t>
      </w:r>
    </w:p>
    <w:p>
      <w:pPr>
        <w:pStyle w:val="19"/>
        <w:numPr>
          <w:ilvl w:val="0"/>
          <w:numId w:val="33"/>
        </w:numPr>
        <w:spacing w:after="0" w:line="360" w:lineRule="auto"/>
        <w:jc w:val="both"/>
        <w:rPr>
          <w:rFonts w:cstheme="minorHAnsi"/>
        </w:rPr>
      </w:pPr>
      <w:r>
        <w:rPr>
          <w:rFonts w:cstheme="minorHAnsi"/>
        </w:rPr>
        <w:t>Caderneta com observações do nível do reservatório;</w:t>
      </w:r>
    </w:p>
    <w:p>
      <w:pPr>
        <w:pStyle w:val="19"/>
        <w:numPr>
          <w:ilvl w:val="0"/>
          <w:numId w:val="33"/>
        </w:numPr>
        <w:spacing w:after="0" w:line="360" w:lineRule="auto"/>
        <w:jc w:val="both"/>
        <w:rPr>
          <w:rFonts w:cstheme="minorHAnsi"/>
        </w:rPr>
      </w:pPr>
      <w:r>
        <w:rPr>
          <w:rFonts w:cstheme="minorHAnsi"/>
        </w:rPr>
        <w:t>Isolinhas do relevo subaquático;</w:t>
      </w:r>
    </w:p>
    <w:p>
      <w:pPr>
        <w:pStyle w:val="19"/>
        <w:numPr>
          <w:ilvl w:val="0"/>
          <w:numId w:val="33"/>
        </w:numPr>
        <w:spacing w:after="0" w:line="360" w:lineRule="auto"/>
        <w:jc w:val="both"/>
        <w:rPr>
          <w:rFonts w:cstheme="minorHAnsi"/>
        </w:rPr>
      </w:pPr>
      <w:r>
        <w:rPr>
          <w:rFonts w:cstheme="minorHAnsi"/>
        </w:rPr>
        <w:t>Arquivos brutos e processados do levantamento batimétrico;</w:t>
      </w:r>
    </w:p>
    <w:p>
      <w:pPr>
        <w:pStyle w:val="19"/>
        <w:numPr>
          <w:ilvl w:val="0"/>
          <w:numId w:val="33"/>
        </w:numPr>
        <w:spacing w:after="0" w:line="360" w:lineRule="auto"/>
        <w:jc w:val="both"/>
        <w:rPr>
          <w:rFonts w:cstheme="minorHAnsi"/>
        </w:rPr>
      </w:pPr>
      <w:r>
        <w:rPr>
          <w:rFonts w:cstheme="minorHAnsi"/>
        </w:rPr>
        <w:t>Arquivos de GPS da base e rover de rastreio de marcos;</w:t>
      </w:r>
    </w:p>
    <w:p>
      <w:pPr>
        <w:pStyle w:val="19"/>
        <w:numPr>
          <w:ilvl w:val="0"/>
          <w:numId w:val="33"/>
        </w:numPr>
        <w:spacing w:after="0" w:line="360" w:lineRule="auto"/>
        <w:jc w:val="both"/>
        <w:rPr>
          <w:rFonts w:cstheme="minorHAnsi"/>
        </w:rPr>
      </w:pPr>
      <w:r>
        <w:rPr>
          <w:rFonts w:cstheme="minorHAnsi"/>
        </w:rPr>
        <w:t>Relatório de execução do mapeamento da área molhada.</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26" w:name="_bookmark20"/>
      <w:bookmarkEnd w:id="26"/>
      <w:bookmarkStart w:id="27" w:name="_Toc3992700"/>
      <w:r>
        <w:rPr>
          <w:rFonts w:eastAsia="Times New Roman" w:asciiTheme="minorHAnsi" w:hAnsiTheme="minorHAnsi" w:cstheme="minorHAnsi"/>
          <w:b/>
          <w:color w:val="auto"/>
        </w:rPr>
        <w:t>Planejamento do Trabalho</w:t>
      </w:r>
      <w:bookmarkEnd w:id="27"/>
    </w:p>
    <w:p>
      <w:pPr>
        <w:spacing w:after="0" w:line="360" w:lineRule="auto"/>
        <w:jc w:val="both"/>
        <w:rPr>
          <w:rFonts w:cstheme="minorHAnsi"/>
        </w:rPr>
      </w:pPr>
      <w:r>
        <w:rPr>
          <w:rFonts w:cstheme="minorHAnsi"/>
        </w:rPr>
        <w:t>A seguir descrição das etapas que compõem todo o processo do levantamento batimétrico:</w:t>
      </w:r>
    </w:p>
    <w:p>
      <w:pPr>
        <w:pStyle w:val="19"/>
        <w:numPr>
          <w:ilvl w:val="0"/>
          <w:numId w:val="34"/>
        </w:numPr>
        <w:spacing w:before="240" w:after="0" w:line="360" w:lineRule="auto"/>
        <w:ind w:left="426" w:hanging="426"/>
        <w:jc w:val="both"/>
        <w:rPr>
          <w:rFonts w:eastAsia="Times New Roman" w:cstheme="minorHAnsi"/>
          <w:b/>
        </w:rPr>
      </w:pPr>
      <w:r>
        <w:rPr>
          <w:rFonts w:eastAsia="Times New Roman" w:cstheme="minorHAnsi"/>
          <w:b/>
        </w:rPr>
        <w:t>Mobilização</w:t>
      </w:r>
    </w:p>
    <w:p>
      <w:pPr>
        <w:pStyle w:val="19"/>
        <w:numPr>
          <w:ilvl w:val="0"/>
          <w:numId w:val="33"/>
        </w:numPr>
        <w:spacing w:after="0" w:line="360" w:lineRule="auto"/>
        <w:jc w:val="both"/>
        <w:rPr>
          <w:rFonts w:cstheme="minorHAnsi"/>
        </w:rPr>
      </w:pPr>
      <w:r>
        <w:rPr>
          <w:rFonts w:cstheme="minorHAnsi"/>
        </w:rPr>
        <w:t>Preparo dos equipamentos;</w:t>
      </w:r>
    </w:p>
    <w:p>
      <w:pPr>
        <w:pStyle w:val="19"/>
        <w:numPr>
          <w:ilvl w:val="0"/>
          <w:numId w:val="33"/>
        </w:numPr>
        <w:spacing w:after="0" w:line="360" w:lineRule="auto"/>
        <w:jc w:val="both"/>
        <w:rPr>
          <w:rFonts w:cstheme="minorHAnsi"/>
        </w:rPr>
      </w:pPr>
      <w:r>
        <w:rPr>
          <w:rFonts w:cstheme="minorHAnsi"/>
        </w:rPr>
        <w:t>Instrução à equipe de campo;</w:t>
      </w:r>
    </w:p>
    <w:p>
      <w:pPr>
        <w:pStyle w:val="19"/>
        <w:numPr>
          <w:ilvl w:val="0"/>
          <w:numId w:val="33"/>
        </w:numPr>
        <w:spacing w:after="0" w:line="360" w:lineRule="auto"/>
        <w:jc w:val="both"/>
        <w:rPr>
          <w:rFonts w:cstheme="minorHAnsi"/>
        </w:rPr>
      </w:pPr>
      <w:r>
        <w:rPr>
          <w:rFonts w:cstheme="minorHAnsi"/>
        </w:rPr>
        <w:t>Deslocamento via terrestre até a área do levantamento.</w:t>
      </w:r>
    </w:p>
    <w:p>
      <w:pPr>
        <w:pStyle w:val="19"/>
        <w:numPr>
          <w:ilvl w:val="0"/>
          <w:numId w:val="34"/>
        </w:numPr>
        <w:spacing w:before="240" w:after="0" w:line="360" w:lineRule="auto"/>
        <w:ind w:left="425" w:hanging="425"/>
        <w:contextualSpacing w:val="0"/>
        <w:jc w:val="both"/>
        <w:rPr>
          <w:rFonts w:eastAsia="Times New Roman" w:cstheme="minorHAnsi"/>
          <w:b/>
        </w:rPr>
      </w:pPr>
      <w:r>
        <w:rPr>
          <w:rFonts w:eastAsia="Times New Roman" w:cstheme="minorHAnsi"/>
          <w:b/>
        </w:rPr>
        <w:t>Arranjo e calibração dos equipamentos</w:t>
      </w:r>
    </w:p>
    <w:p>
      <w:pPr>
        <w:pStyle w:val="19"/>
        <w:numPr>
          <w:ilvl w:val="0"/>
          <w:numId w:val="33"/>
        </w:numPr>
        <w:spacing w:after="0" w:line="360" w:lineRule="auto"/>
        <w:jc w:val="both"/>
        <w:rPr>
          <w:rFonts w:cstheme="minorHAnsi"/>
        </w:rPr>
      </w:pPr>
      <w:r>
        <w:rPr>
          <w:rFonts w:cstheme="minorHAnsi"/>
        </w:rPr>
        <w:t>Definição do arranjo/posicionamento dos equipamentos na embarcação;</w:t>
      </w:r>
    </w:p>
    <w:p>
      <w:pPr>
        <w:pStyle w:val="19"/>
        <w:numPr>
          <w:ilvl w:val="0"/>
          <w:numId w:val="33"/>
        </w:numPr>
        <w:spacing w:after="0" w:line="360" w:lineRule="auto"/>
        <w:jc w:val="both"/>
        <w:rPr>
          <w:rFonts w:cstheme="minorHAnsi"/>
        </w:rPr>
      </w:pPr>
      <w:r>
        <w:rPr>
          <w:rFonts w:cstheme="minorHAnsi"/>
        </w:rPr>
        <w:t>Aferição dos ecobatímetros;</w:t>
      </w:r>
    </w:p>
    <w:p>
      <w:pPr>
        <w:pStyle w:val="19"/>
        <w:numPr>
          <w:ilvl w:val="0"/>
          <w:numId w:val="33"/>
        </w:numPr>
        <w:spacing w:after="0" w:line="360" w:lineRule="auto"/>
        <w:jc w:val="both"/>
        <w:rPr>
          <w:rFonts w:cstheme="minorHAnsi"/>
        </w:rPr>
      </w:pPr>
      <w:r>
        <w:rPr>
          <w:rFonts w:cstheme="minorHAnsi"/>
        </w:rPr>
        <w:t>Aferição dos sistemas gps;</w:t>
      </w:r>
    </w:p>
    <w:p>
      <w:pPr>
        <w:pStyle w:val="19"/>
        <w:numPr>
          <w:ilvl w:val="0"/>
          <w:numId w:val="33"/>
        </w:numPr>
        <w:spacing w:after="0" w:line="360" w:lineRule="auto"/>
        <w:jc w:val="both"/>
        <w:rPr>
          <w:rFonts w:cstheme="minorHAnsi"/>
        </w:rPr>
      </w:pPr>
      <w:r>
        <w:rPr>
          <w:rFonts w:cstheme="minorHAnsi"/>
        </w:rPr>
        <w:t>Integração/comunicação dos equipamentos via software de coleta de dados;</w:t>
      </w:r>
    </w:p>
    <w:p>
      <w:pPr>
        <w:pStyle w:val="19"/>
        <w:numPr>
          <w:ilvl w:val="0"/>
          <w:numId w:val="33"/>
        </w:numPr>
        <w:spacing w:after="0" w:line="360" w:lineRule="auto"/>
        <w:jc w:val="both"/>
        <w:rPr>
          <w:rFonts w:cstheme="minorHAnsi"/>
        </w:rPr>
      </w:pPr>
      <w:r>
        <w:rPr>
          <w:rFonts w:cstheme="minorHAnsi"/>
        </w:rPr>
        <w:t>Delimitação da área do levantamento em software de navegação por carta viva;</w:t>
      </w:r>
    </w:p>
    <w:p>
      <w:pPr>
        <w:pStyle w:val="19"/>
        <w:numPr>
          <w:ilvl w:val="0"/>
          <w:numId w:val="33"/>
        </w:numPr>
        <w:spacing w:after="0" w:line="360" w:lineRule="auto"/>
        <w:jc w:val="both"/>
        <w:rPr>
          <w:rFonts w:cstheme="minorHAnsi"/>
        </w:rPr>
      </w:pPr>
      <w:r>
        <w:rPr>
          <w:rFonts w:cstheme="minorHAnsi"/>
        </w:rPr>
        <w:t>Planejamento das seções a serem levantadas.</w:t>
      </w:r>
    </w:p>
    <w:p>
      <w:pPr>
        <w:pStyle w:val="19"/>
        <w:numPr>
          <w:ilvl w:val="0"/>
          <w:numId w:val="34"/>
        </w:numPr>
        <w:spacing w:before="240" w:after="0" w:line="360" w:lineRule="auto"/>
        <w:ind w:left="425" w:hanging="425"/>
        <w:contextualSpacing w:val="0"/>
        <w:jc w:val="both"/>
        <w:rPr>
          <w:rFonts w:eastAsia="Times New Roman" w:cstheme="minorHAnsi"/>
          <w:b/>
        </w:rPr>
      </w:pPr>
      <w:r>
        <w:rPr>
          <w:rFonts w:eastAsia="Times New Roman" w:cstheme="minorHAnsi"/>
          <w:b/>
        </w:rPr>
        <w:t>Definição das estações de referência</w:t>
      </w:r>
    </w:p>
    <w:p>
      <w:pPr>
        <w:pStyle w:val="19"/>
        <w:numPr>
          <w:ilvl w:val="0"/>
          <w:numId w:val="33"/>
        </w:numPr>
        <w:spacing w:after="0" w:line="360" w:lineRule="auto"/>
        <w:jc w:val="both"/>
        <w:rPr>
          <w:rFonts w:cstheme="minorHAnsi"/>
        </w:rPr>
      </w:pPr>
      <w:r>
        <w:rPr>
          <w:rFonts w:cstheme="minorHAnsi"/>
        </w:rPr>
        <w:t>Localização/identificação da rede rvg existente;</w:t>
      </w:r>
    </w:p>
    <w:p>
      <w:pPr>
        <w:pStyle w:val="19"/>
        <w:numPr>
          <w:ilvl w:val="0"/>
          <w:numId w:val="33"/>
        </w:numPr>
        <w:spacing w:after="0" w:line="360" w:lineRule="auto"/>
        <w:jc w:val="both"/>
        <w:rPr>
          <w:rFonts w:cstheme="minorHAnsi"/>
        </w:rPr>
      </w:pPr>
      <w:r>
        <w:rPr>
          <w:rFonts w:cstheme="minorHAnsi"/>
        </w:rPr>
        <w:t>Definição em campo do posicionamento da base rtk para maior alcance durante os levantamentos batimétrico.</w:t>
      </w:r>
    </w:p>
    <w:p>
      <w:pPr>
        <w:pStyle w:val="19"/>
        <w:numPr>
          <w:ilvl w:val="0"/>
          <w:numId w:val="34"/>
        </w:numPr>
        <w:spacing w:before="240" w:after="0" w:line="360" w:lineRule="auto"/>
        <w:ind w:left="425" w:hanging="425"/>
        <w:contextualSpacing w:val="0"/>
        <w:jc w:val="both"/>
        <w:rPr>
          <w:rFonts w:eastAsia="Times New Roman" w:cstheme="minorHAnsi"/>
          <w:b/>
        </w:rPr>
      </w:pPr>
      <w:r>
        <w:rPr>
          <w:rFonts w:eastAsia="Times New Roman" w:cstheme="minorHAnsi"/>
          <w:b/>
        </w:rPr>
        <w:t>Levantamento batimétrico</w:t>
      </w:r>
    </w:p>
    <w:p>
      <w:pPr>
        <w:pStyle w:val="19"/>
        <w:numPr>
          <w:ilvl w:val="0"/>
          <w:numId w:val="33"/>
        </w:numPr>
        <w:spacing w:after="0" w:line="360" w:lineRule="auto"/>
        <w:jc w:val="both"/>
        <w:rPr>
          <w:rFonts w:cstheme="minorHAnsi"/>
        </w:rPr>
      </w:pPr>
      <w:r>
        <w:rPr>
          <w:rFonts w:cstheme="minorHAnsi"/>
        </w:rPr>
        <w:t>Levantamento das seções planejadas no rio principal;</w:t>
      </w:r>
    </w:p>
    <w:p>
      <w:pPr>
        <w:pStyle w:val="19"/>
        <w:numPr>
          <w:ilvl w:val="0"/>
          <w:numId w:val="33"/>
        </w:numPr>
        <w:spacing w:after="0" w:line="360" w:lineRule="auto"/>
        <w:jc w:val="both"/>
        <w:rPr>
          <w:rFonts w:cstheme="minorHAnsi"/>
        </w:rPr>
      </w:pPr>
      <w:r>
        <w:rPr>
          <w:rFonts w:cstheme="minorHAnsi"/>
        </w:rPr>
        <w:t>Levantamento das seções planejadas no rio secundário.</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28" w:name="_Toc3992701"/>
      <w:r>
        <w:rPr>
          <w:rFonts w:eastAsia="Times New Roman" w:asciiTheme="minorHAnsi" w:hAnsiTheme="minorHAnsi" w:cstheme="minorHAnsi"/>
          <w:b/>
          <w:color w:val="auto"/>
        </w:rPr>
        <w:t>Processamento de dados</w:t>
      </w:r>
      <w:bookmarkEnd w:id="28"/>
    </w:p>
    <w:p>
      <w:pPr>
        <w:pStyle w:val="19"/>
        <w:numPr>
          <w:ilvl w:val="0"/>
          <w:numId w:val="33"/>
        </w:numPr>
        <w:spacing w:after="0" w:line="360" w:lineRule="auto"/>
        <w:jc w:val="both"/>
        <w:rPr>
          <w:rFonts w:cstheme="minorHAnsi"/>
        </w:rPr>
      </w:pPr>
      <w:r>
        <w:rPr>
          <w:rFonts w:cstheme="minorHAnsi"/>
        </w:rPr>
        <w:t>Processamento do levantamento batimétrico;</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29" w:name="_Toc3992702"/>
      <w:r>
        <w:rPr>
          <w:rFonts w:eastAsia="Times New Roman" w:asciiTheme="minorHAnsi" w:hAnsiTheme="minorHAnsi" w:cstheme="minorHAnsi"/>
          <w:b/>
          <w:color w:val="auto"/>
        </w:rPr>
        <w:t>Elaboração dos produtos/documentos</w:t>
      </w:r>
      <w:bookmarkEnd w:id="29"/>
    </w:p>
    <w:p>
      <w:pPr>
        <w:pStyle w:val="19"/>
        <w:numPr>
          <w:ilvl w:val="0"/>
          <w:numId w:val="33"/>
        </w:numPr>
        <w:spacing w:after="0" w:line="360" w:lineRule="auto"/>
        <w:jc w:val="both"/>
        <w:rPr>
          <w:rFonts w:cstheme="minorHAnsi"/>
        </w:rPr>
      </w:pPr>
      <w:r>
        <w:rPr>
          <w:rFonts w:cstheme="minorHAnsi"/>
        </w:rPr>
        <w:t>Elaboração dos documentos constantes da proposta (pranchas, mapas, modelos, etc.).</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30" w:name="_Toc3992703"/>
      <w:r>
        <w:rPr>
          <w:rFonts w:eastAsia="Times New Roman" w:asciiTheme="minorHAnsi" w:hAnsiTheme="minorHAnsi" w:cstheme="minorHAnsi"/>
          <w:b/>
          <w:color w:val="auto"/>
        </w:rPr>
        <w:t>Emissão do relatório final</w:t>
      </w:r>
      <w:bookmarkEnd w:id="30"/>
    </w:p>
    <w:p>
      <w:pPr>
        <w:spacing w:after="0" w:line="360" w:lineRule="auto"/>
        <w:jc w:val="both"/>
        <w:rPr>
          <w:rFonts w:cstheme="minorHAnsi"/>
        </w:rPr>
      </w:pPr>
      <w:r>
        <w:rPr>
          <w:rFonts w:cstheme="minorHAnsi"/>
        </w:rPr>
        <w:t>Elaboração e emissão dos relatórios do levantamento batimétrico.</w:t>
      </w:r>
    </w:p>
    <w:p>
      <w:pPr>
        <w:pStyle w:val="3"/>
        <w:numPr>
          <w:ilvl w:val="1"/>
          <w:numId w:val="29"/>
        </w:numPr>
        <w:spacing w:before="240" w:line="480" w:lineRule="auto"/>
        <w:rPr>
          <w:rFonts w:eastAsia="Times New Roman" w:asciiTheme="minorHAnsi" w:hAnsiTheme="minorHAnsi" w:cstheme="minorHAnsi"/>
          <w:b/>
          <w:color w:val="auto"/>
          <w:sz w:val="24"/>
          <w:szCs w:val="24"/>
        </w:rPr>
      </w:pPr>
      <w:bookmarkStart w:id="31" w:name="_bookmark21"/>
      <w:bookmarkEnd w:id="31"/>
      <w:bookmarkStart w:id="32" w:name="_Toc3992704"/>
      <w:r>
        <w:rPr>
          <w:rFonts w:eastAsia="Times New Roman" w:asciiTheme="minorHAnsi" w:hAnsiTheme="minorHAnsi" w:cstheme="minorHAnsi"/>
          <w:b/>
          <w:color w:val="auto"/>
          <w:sz w:val="24"/>
          <w:szCs w:val="24"/>
        </w:rPr>
        <w:t>Imageamento de Satélite</w:t>
      </w:r>
      <w:bookmarkEnd w:id="32"/>
    </w:p>
    <w:p>
      <w:pPr>
        <w:spacing w:after="0" w:line="360" w:lineRule="auto"/>
        <w:jc w:val="both"/>
        <w:rPr>
          <w:rFonts w:cstheme="minorHAnsi"/>
        </w:rPr>
      </w:pPr>
      <w:r>
        <w:rPr>
          <w:rFonts w:cstheme="minorHAnsi"/>
        </w:rPr>
        <w:t>Contempla o fornecimento de imagens de satélite já existentes de alta resolução, para a área de estudo de acordo com a especificação técnica. Serão consideradas como aceitáveis cenas com até 10% de cobertura de nuvens para a área de interesse. As imagens terão resolução espacial de 50 cm, seção atualizadas e adquiridas por satélite em operação.</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33" w:name="_Toc3992705"/>
      <w:r>
        <w:rPr>
          <w:rFonts w:eastAsia="Times New Roman" w:asciiTheme="minorHAnsi" w:hAnsiTheme="minorHAnsi" w:cstheme="minorHAnsi"/>
          <w:b/>
          <w:color w:val="auto"/>
        </w:rPr>
        <w:t>Planejamento do Trabalho</w:t>
      </w:r>
      <w:bookmarkEnd w:id="33"/>
    </w:p>
    <w:p>
      <w:pPr>
        <w:spacing w:after="0" w:line="360" w:lineRule="auto"/>
        <w:jc w:val="both"/>
        <w:rPr>
          <w:rFonts w:cstheme="minorHAnsi"/>
        </w:rPr>
      </w:pPr>
      <w:r>
        <w:rPr>
          <w:rFonts w:cstheme="minorHAnsi"/>
        </w:rPr>
        <w:t>A seguir descrição das etapas que compõem todo o processo do Imageamento de Satélite:</w:t>
      </w:r>
    </w:p>
    <w:p>
      <w:pPr>
        <w:pStyle w:val="19"/>
        <w:numPr>
          <w:ilvl w:val="0"/>
          <w:numId w:val="35"/>
        </w:numPr>
        <w:tabs>
          <w:tab w:val="left" w:pos="426"/>
        </w:tabs>
        <w:spacing w:before="240" w:after="0" w:line="360" w:lineRule="auto"/>
        <w:ind w:left="426" w:hanging="426"/>
        <w:jc w:val="both"/>
        <w:rPr>
          <w:rFonts w:cstheme="minorHAnsi"/>
          <w:b/>
        </w:rPr>
      </w:pPr>
      <w:bookmarkStart w:id="34" w:name="_bookmark22"/>
      <w:bookmarkEnd w:id="34"/>
      <w:r>
        <w:rPr>
          <w:rFonts w:cstheme="minorHAnsi"/>
          <w:b/>
        </w:rPr>
        <w:t>Processamento digital</w:t>
      </w:r>
    </w:p>
    <w:p>
      <w:pPr>
        <w:spacing w:after="0" w:line="360" w:lineRule="auto"/>
        <w:jc w:val="both"/>
        <w:rPr>
          <w:rFonts w:cstheme="minorHAnsi"/>
        </w:rPr>
      </w:pPr>
      <w:r>
        <w:rPr>
          <w:rFonts w:cstheme="minorHAnsi"/>
        </w:rPr>
        <w:t>O Processamento Digital de Imagens - PDI compõe uma parte do Sensoriamento Remoto em que são aplicados determinados processos de ajuste, objetivando a melhoria da qualidade de dados como a visualização dos alvos e precisão das imagens e, por conseguinte, das informações que serão retiradas delas. Isto é necessário, pois as imagens adquiridas pelos sensores necessitam de correções que os satélites não são capazes de realizar.</w:t>
      </w:r>
    </w:p>
    <w:p>
      <w:pPr>
        <w:pStyle w:val="19"/>
        <w:numPr>
          <w:ilvl w:val="0"/>
          <w:numId w:val="35"/>
        </w:numPr>
        <w:tabs>
          <w:tab w:val="left" w:pos="426"/>
        </w:tabs>
        <w:spacing w:before="240" w:after="0" w:line="360" w:lineRule="auto"/>
        <w:ind w:left="426" w:hanging="426"/>
        <w:jc w:val="both"/>
        <w:rPr>
          <w:rFonts w:cstheme="minorHAnsi"/>
          <w:b/>
        </w:rPr>
      </w:pPr>
      <w:bookmarkStart w:id="35" w:name="_bookmark23"/>
      <w:bookmarkEnd w:id="35"/>
      <w:r>
        <w:rPr>
          <w:rFonts w:cstheme="minorHAnsi"/>
          <w:b/>
        </w:rPr>
        <w:t>Composição de bandas multiespectrais</w:t>
      </w:r>
    </w:p>
    <w:p>
      <w:pPr>
        <w:spacing w:after="0" w:line="360" w:lineRule="auto"/>
        <w:jc w:val="both"/>
        <w:rPr>
          <w:rFonts w:cstheme="minorHAnsi"/>
        </w:rPr>
      </w:pPr>
      <w:r>
        <w:rPr>
          <w:rFonts w:cstheme="minorHAnsi"/>
        </w:rPr>
        <w:t>Procedimento de contempla a unificação de “4” bandas multiespectrais monocromáticas em uma única imagem colorida.</w:t>
      </w:r>
    </w:p>
    <w:p>
      <w:pPr>
        <w:pStyle w:val="19"/>
        <w:numPr>
          <w:ilvl w:val="0"/>
          <w:numId w:val="35"/>
        </w:numPr>
        <w:tabs>
          <w:tab w:val="left" w:pos="426"/>
        </w:tabs>
        <w:spacing w:before="240" w:after="0" w:line="360" w:lineRule="auto"/>
        <w:ind w:left="426" w:hanging="426"/>
        <w:jc w:val="both"/>
        <w:rPr>
          <w:rFonts w:cstheme="minorHAnsi"/>
          <w:b/>
        </w:rPr>
      </w:pPr>
      <w:bookmarkStart w:id="36" w:name="_bookmark24"/>
      <w:bookmarkEnd w:id="36"/>
      <w:r>
        <w:rPr>
          <w:rFonts w:cstheme="minorHAnsi"/>
          <w:b/>
        </w:rPr>
        <w:t>Realce</w:t>
      </w:r>
    </w:p>
    <w:p>
      <w:pPr>
        <w:spacing w:after="0" w:line="360" w:lineRule="auto"/>
        <w:jc w:val="both"/>
        <w:rPr>
          <w:rFonts w:cstheme="minorHAnsi"/>
        </w:rPr>
      </w:pPr>
      <w:r>
        <w:rPr>
          <w:rFonts w:cstheme="minorHAnsi"/>
        </w:rPr>
        <w:t>Procedimento necessário para um melhor aproveitamento na visualização dos objetos geográficos contidos em uma imagem.</w:t>
      </w:r>
    </w:p>
    <w:p>
      <w:pPr>
        <w:pStyle w:val="19"/>
        <w:numPr>
          <w:ilvl w:val="0"/>
          <w:numId w:val="35"/>
        </w:numPr>
        <w:tabs>
          <w:tab w:val="left" w:pos="426"/>
        </w:tabs>
        <w:spacing w:before="240" w:after="0" w:line="360" w:lineRule="auto"/>
        <w:ind w:left="426" w:hanging="426"/>
        <w:jc w:val="both"/>
        <w:rPr>
          <w:rFonts w:cstheme="minorHAnsi"/>
          <w:b/>
        </w:rPr>
      </w:pPr>
      <w:bookmarkStart w:id="37" w:name="_bookmark25"/>
      <w:bookmarkEnd w:id="37"/>
      <w:r>
        <w:rPr>
          <w:rFonts w:cstheme="minorHAnsi"/>
          <w:b/>
        </w:rPr>
        <w:t>Equalização</w:t>
      </w:r>
    </w:p>
    <w:p>
      <w:pPr>
        <w:spacing w:after="0" w:line="360" w:lineRule="auto"/>
        <w:jc w:val="both"/>
        <w:rPr>
          <w:rFonts w:cstheme="minorHAnsi"/>
        </w:rPr>
      </w:pPr>
      <w:r>
        <w:rPr>
          <w:rFonts w:cstheme="minorHAnsi"/>
        </w:rPr>
        <w:t>As imagens obtidas em diferentes épocas, como por exemplo, em período seco ou chuvoso, podem apresentar uma resposta espectral diferente. Por isso, em alguns casos, algumas feições podem apresentar tonalidades heterogêneas. O procedimento de equalização vem minimizar este efeito, tornando possível a elaboração de mosaicos homogêneos.</w:t>
      </w:r>
    </w:p>
    <w:p>
      <w:pPr>
        <w:spacing w:after="0" w:line="360" w:lineRule="auto"/>
        <w:jc w:val="both"/>
        <w:rPr>
          <w:rFonts w:cstheme="minorHAnsi"/>
        </w:rPr>
      </w:pPr>
    </w:p>
    <w:p>
      <w:pPr>
        <w:pStyle w:val="19"/>
        <w:numPr>
          <w:ilvl w:val="0"/>
          <w:numId w:val="35"/>
        </w:numPr>
        <w:tabs>
          <w:tab w:val="left" w:pos="426"/>
        </w:tabs>
        <w:spacing w:before="240" w:after="0" w:line="360" w:lineRule="auto"/>
        <w:ind w:left="426" w:hanging="426"/>
        <w:jc w:val="both"/>
        <w:rPr>
          <w:rFonts w:cstheme="minorHAnsi"/>
          <w:b/>
        </w:rPr>
      </w:pPr>
      <w:bookmarkStart w:id="38" w:name="_bookmark26"/>
      <w:bookmarkEnd w:id="38"/>
      <w:r>
        <w:rPr>
          <w:rFonts w:cstheme="minorHAnsi"/>
          <w:b/>
        </w:rPr>
        <w:t>Mosaicagem</w:t>
      </w:r>
    </w:p>
    <w:p>
      <w:pPr>
        <w:spacing w:after="0" w:line="360" w:lineRule="auto"/>
        <w:jc w:val="both"/>
        <w:rPr>
          <w:rFonts w:cstheme="minorHAnsi"/>
        </w:rPr>
      </w:pPr>
      <w:r>
        <w:rPr>
          <w:rFonts w:cstheme="minorHAnsi"/>
        </w:rPr>
        <w:t>Necessário quando houver várias cenas diferentes compondo uma única área de trabalho. Algumas imagens podem possuir angulação diferente em relação ao nadir. Nesse caso é necessário realizar a junção destas imagens, produto conhecido como mosaico. O mosaico também objetiva reduzir o efeito de corte ou emenda entre as imagens.</w:t>
      </w:r>
    </w:p>
    <w:p>
      <w:pPr>
        <w:pStyle w:val="19"/>
        <w:numPr>
          <w:ilvl w:val="0"/>
          <w:numId w:val="35"/>
        </w:numPr>
        <w:tabs>
          <w:tab w:val="left" w:pos="426"/>
        </w:tabs>
        <w:spacing w:before="240" w:after="0" w:line="360" w:lineRule="auto"/>
        <w:ind w:left="426" w:hanging="426"/>
        <w:jc w:val="both"/>
        <w:rPr>
          <w:rFonts w:cstheme="minorHAnsi"/>
          <w:b/>
        </w:rPr>
      </w:pPr>
      <w:bookmarkStart w:id="39" w:name="_bookmark27"/>
      <w:bookmarkEnd w:id="39"/>
      <w:r>
        <w:rPr>
          <w:rFonts w:cstheme="minorHAnsi"/>
          <w:b/>
        </w:rPr>
        <w:t>Correção geométrica</w:t>
      </w:r>
    </w:p>
    <w:p>
      <w:pPr>
        <w:spacing w:after="0" w:line="360" w:lineRule="auto"/>
        <w:jc w:val="both"/>
        <w:rPr>
          <w:rFonts w:cstheme="minorHAnsi"/>
        </w:rPr>
      </w:pPr>
      <w:r>
        <w:rPr>
          <w:rFonts w:cstheme="minorHAnsi"/>
        </w:rPr>
        <w:t>Visa adequar o georreferenciamento nativo das imagens a partir de pontos coletados em campo ou de bases cartográficas disponíveis. Antes de iniciar um trabalho de correção geométrica é válido averiguar a ficha técnica de cada satélite e a precisão da imagem bruta (sem correções).</w:t>
      </w:r>
    </w:p>
    <w:p>
      <w:pPr>
        <w:pStyle w:val="19"/>
        <w:numPr>
          <w:ilvl w:val="0"/>
          <w:numId w:val="35"/>
        </w:numPr>
        <w:tabs>
          <w:tab w:val="left" w:pos="426"/>
        </w:tabs>
        <w:spacing w:before="240" w:after="0" w:line="360" w:lineRule="auto"/>
        <w:ind w:left="426" w:hanging="426"/>
        <w:jc w:val="both"/>
        <w:rPr>
          <w:rFonts w:cstheme="minorHAnsi"/>
          <w:b/>
        </w:rPr>
      </w:pPr>
      <w:bookmarkStart w:id="40" w:name="_bookmark28"/>
      <w:bookmarkEnd w:id="40"/>
      <w:r>
        <w:rPr>
          <w:rFonts w:cstheme="minorHAnsi"/>
          <w:b/>
        </w:rPr>
        <w:t>Ortorretificação</w:t>
      </w:r>
    </w:p>
    <w:p>
      <w:pPr>
        <w:spacing w:after="0" w:line="360" w:lineRule="auto"/>
        <w:jc w:val="both"/>
        <w:rPr>
          <w:rFonts w:cstheme="minorHAnsi"/>
        </w:rPr>
      </w:pPr>
      <w:r>
        <w:rPr>
          <w:rFonts w:cstheme="minorHAnsi"/>
        </w:rPr>
        <w:t>A ortorretificação objetiva corrigir as deformações geométricas sofridas pelas imagens devido à plataforma do sensor, do ângulo de aquisição, do relevo, da curvatura e rotação da Terra. Através de bases planialtiméticas pré-existentes é possível ortorretificar uma imagem.</w:t>
      </w:r>
    </w:p>
    <w:p>
      <w:pPr>
        <w:pStyle w:val="4"/>
        <w:numPr>
          <w:ilvl w:val="2"/>
          <w:numId w:val="29"/>
        </w:numPr>
        <w:spacing w:before="240" w:line="480" w:lineRule="auto"/>
        <w:ind w:left="567" w:hanging="567"/>
        <w:rPr>
          <w:rFonts w:eastAsia="Times New Roman" w:asciiTheme="minorHAnsi" w:hAnsiTheme="minorHAnsi" w:cstheme="minorHAnsi"/>
          <w:b/>
          <w:color w:val="auto"/>
        </w:rPr>
      </w:pPr>
      <w:bookmarkStart w:id="41" w:name="_bookmark29"/>
      <w:bookmarkEnd w:id="41"/>
      <w:bookmarkStart w:id="42" w:name="_Toc3992706"/>
      <w:r>
        <w:rPr>
          <w:rFonts w:eastAsia="Times New Roman" w:asciiTheme="minorHAnsi" w:hAnsiTheme="minorHAnsi" w:cstheme="minorHAnsi"/>
          <w:b/>
          <w:color w:val="auto"/>
        </w:rPr>
        <w:t>Produtos a serem entregues</w:t>
      </w:r>
      <w:bookmarkEnd w:id="42"/>
    </w:p>
    <w:p>
      <w:pPr>
        <w:spacing w:after="0" w:line="360" w:lineRule="auto"/>
        <w:jc w:val="both"/>
        <w:rPr>
          <w:rFonts w:cstheme="minorHAnsi"/>
        </w:rPr>
      </w:pPr>
      <w:r>
        <w:rPr>
          <w:rFonts w:cstheme="minorHAnsi"/>
        </w:rPr>
        <w:t>Arquivos digitais contendo as imagens brutas, com resolução de 50 cm ou melhor, em formato GeoTIFF – 8 bits, em projeção Geográfica e Datum SIRGAS 2000.</w:t>
      </w:r>
    </w:p>
    <w:p>
      <w:pPr>
        <w:spacing w:after="0" w:line="360" w:lineRule="auto"/>
        <w:jc w:val="both"/>
        <w:rPr>
          <w:rFonts w:cstheme="minorHAnsi"/>
        </w:rPr>
      </w:pPr>
      <w:r>
        <w:rPr>
          <w:rFonts w:cstheme="minorHAnsi"/>
        </w:rPr>
        <w:t>Arquivos digitais contendo as imagens processadas, com resolução de 50 cm ou melhor, em formato GeoTIFF – 8 bits, em projeção Geográfica e Datum SIRGAS 2000.</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43" w:name="_bookmark30"/>
      <w:bookmarkEnd w:id="43"/>
      <w:bookmarkStart w:id="44" w:name="_Toc3992707"/>
      <w:r>
        <w:rPr>
          <w:rFonts w:eastAsia="Times New Roman" w:asciiTheme="minorHAnsi" w:hAnsiTheme="minorHAnsi" w:cstheme="minorHAnsi"/>
          <w:b/>
          <w:color w:val="auto"/>
          <w:sz w:val="24"/>
          <w:szCs w:val="24"/>
        </w:rPr>
        <w:t>Fornecimento</w:t>
      </w:r>
      <w:bookmarkEnd w:id="44"/>
    </w:p>
    <w:p>
      <w:pPr>
        <w:spacing w:after="0" w:line="360" w:lineRule="auto"/>
        <w:jc w:val="both"/>
        <w:rPr>
          <w:rFonts w:cstheme="minorHAnsi"/>
        </w:rPr>
      </w:pPr>
      <w:r>
        <w:rPr>
          <w:rFonts w:cstheme="minorHAnsi"/>
        </w:rPr>
        <w:t>A CONTRATADA fornecerá todos os equipamentos, materiais e mão de obra necessária para a execução dos serviços contidos neste termo de referência, além de todo o equipamento de segurança individual e coletivo (EPI’s e  EPC’s)  com  Certificado   de   Aprovação   emitido   pelo   Ministério   do   Trabalho.   Também fornecerá toda a infraestrutura para os funcionários realizarem os serviços, em questão de sua mobilização e desmobilização, bem como o transporte, hospedagem e alimentação para todos os funcionários quando aplicável.</w:t>
      </w:r>
    </w:p>
    <w:p>
      <w:pPr>
        <w:spacing w:after="0" w:line="360" w:lineRule="auto"/>
        <w:jc w:val="both"/>
        <w:rPr>
          <w:rFonts w:cstheme="minorHAnsi"/>
        </w:rPr>
      </w:pPr>
      <w:r>
        <w:rPr>
          <w:rFonts w:cstheme="minorHAnsi"/>
        </w:rPr>
        <w:t>Cumprindo a legislação em vigor em relação as normas relativas à segurança e medicina do trabalho, ficando sob sua inteira e exclusiva responsabilidade quaisquer danos pessoais consequentes da inobservância dessas obrigações.</w:t>
      </w:r>
    </w:p>
    <w:p>
      <w:pPr>
        <w:spacing w:after="0" w:line="360" w:lineRule="auto"/>
        <w:jc w:val="both"/>
        <w:rPr>
          <w:rFonts w:cstheme="minorHAnsi"/>
        </w:rPr>
      </w:pPr>
      <w:r>
        <w:rPr>
          <w:rFonts w:cstheme="minorHAnsi"/>
        </w:rPr>
        <w:t>É de responsabilidade da CONTRATADA o pagamento dos salários e todos os encargos provenientes da legislação trabalhista e previdência social, incidentes direta ou indiretamente sobre a mão de obra, bem como o pagamento de prejuízos decorrentes de danos a terceiros ocasionados durante a execução dos serviços, responsabilidade essa que abrange a danos de qualquer natureza.</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45" w:name="_bookmark31"/>
      <w:bookmarkEnd w:id="45"/>
      <w:bookmarkStart w:id="46" w:name="_bookmark32"/>
      <w:bookmarkEnd w:id="46"/>
      <w:bookmarkStart w:id="47" w:name="_Toc3992708"/>
      <w:r>
        <w:rPr>
          <w:rFonts w:eastAsia="Times New Roman" w:asciiTheme="minorHAnsi" w:hAnsiTheme="minorHAnsi" w:cstheme="minorHAnsi"/>
          <w:b/>
          <w:color w:val="auto"/>
          <w:sz w:val="24"/>
          <w:szCs w:val="24"/>
        </w:rPr>
        <w:t>Capacidade Técnica</w:t>
      </w:r>
      <w:bookmarkEnd w:id="47"/>
    </w:p>
    <w:p>
      <w:pPr>
        <w:spacing w:after="0" w:line="360" w:lineRule="auto"/>
        <w:jc w:val="both"/>
        <w:rPr>
          <w:rFonts w:cstheme="minorHAnsi"/>
        </w:rPr>
      </w:pPr>
      <w:r>
        <w:rPr>
          <w:rFonts w:cstheme="minorHAnsi"/>
        </w:rPr>
        <w:t>A empresa apresentará atestado de capacidade técnica com ART (Anotações de Responsabilidade Técnica) emitida pelo CREA e atestado de execução de serviços emitido por empresa privada, explicitando que a CONTRATADA tem condições para executar os serviços constantes nesta especificação.</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48" w:name="_bookmark33"/>
      <w:bookmarkEnd w:id="48"/>
      <w:bookmarkStart w:id="49" w:name="_Toc3992709"/>
      <w:r>
        <w:rPr>
          <w:rFonts w:eastAsia="Times New Roman" w:asciiTheme="minorHAnsi" w:hAnsiTheme="minorHAnsi" w:cstheme="minorHAnsi"/>
          <w:b/>
          <w:color w:val="auto"/>
          <w:sz w:val="24"/>
          <w:szCs w:val="24"/>
        </w:rPr>
        <w:t>Emissão de ART</w:t>
      </w:r>
      <w:bookmarkEnd w:id="49"/>
    </w:p>
    <w:p>
      <w:pPr>
        <w:spacing w:after="0" w:line="360" w:lineRule="auto"/>
        <w:jc w:val="both"/>
        <w:rPr>
          <w:rFonts w:cstheme="minorHAnsi"/>
        </w:rPr>
      </w:pPr>
      <w:r>
        <w:rPr>
          <w:rFonts w:cstheme="minorHAnsi"/>
        </w:rPr>
        <w:t>Para todas as atividades que constam nesta proposta técnica estão previstas emissões de Anotação de Responsabilidade Técnica – ART.</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50" w:name="_bookmark34"/>
      <w:bookmarkEnd w:id="50"/>
      <w:bookmarkStart w:id="51" w:name="_Toc3992710"/>
      <w:r>
        <w:rPr>
          <w:rFonts w:eastAsia="Times New Roman" w:asciiTheme="minorHAnsi" w:hAnsiTheme="minorHAnsi" w:cstheme="minorHAnsi"/>
          <w:b/>
          <w:color w:val="auto"/>
          <w:sz w:val="24"/>
          <w:szCs w:val="24"/>
        </w:rPr>
        <w:t>Termo de Confidencialidade</w:t>
      </w:r>
      <w:bookmarkEnd w:id="51"/>
    </w:p>
    <w:p>
      <w:pPr>
        <w:spacing w:after="0" w:line="360" w:lineRule="auto"/>
        <w:jc w:val="both"/>
        <w:rPr>
          <w:rFonts w:cstheme="minorHAnsi"/>
        </w:rPr>
      </w:pPr>
      <w:r>
        <w:rPr>
          <w:rFonts w:cstheme="minorHAnsi"/>
        </w:rPr>
        <w:t>A CONTRATADA manterá confidencialidade sobre todos os dados e informações que lhe forem transmitidas pela CONTRATANTE ou que forem obtidas em função dos serviços prestados.</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52" w:name="_bookmark35"/>
      <w:bookmarkEnd w:id="52"/>
      <w:bookmarkStart w:id="53" w:name="_Toc3992711"/>
      <w:r>
        <w:rPr>
          <w:rFonts w:eastAsia="Times New Roman" w:asciiTheme="minorHAnsi" w:hAnsiTheme="minorHAnsi" w:cstheme="minorHAnsi"/>
          <w:b/>
          <w:color w:val="auto"/>
          <w:sz w:val="24"/>
          <w:szCs w:val="24"/>
        </w:rPr>
        <w:t>Entrega do Material</w:t>
      </w:r>
      <w:bookmarkEnd w:id="53"/>
    </w:p>
    <w:p>
      <w:pPr>
        <w:spacing w:after="0" w:line="360" w:lineRule="auto"/>
        <w:jc w:val="both"/>
        <w:rPr>
          <w:rFonts w:cstheme="minorHAnsi"/>
        </w:rPr>
      </w:pPr>
      <w:r>
        <w:rPr>
          <w:rFonts w:cstheme="minorHAnsi"/>
        </w:rPr>
        <w:t>Apresentação dos serviços relacionados em meio físico e digital, contendo memorial de cálculo e relatório técnico detalhado de todas as atividades realizadas bem como as metodologias adotadas e as respectivas justificativas.</w:t>
      </w:r>
    </w:p>
    <w:p>
      <w:pPr>
        <w:spacing w:after="0" w:line="360" w:lineRule="auto"/>
        <w:jc w:val="both"/>
        <w:rPr>
          <w:rFonts w:cstheme="minorHAnsi"/>
        </w:rPr>
      </w:pPr>
      <w:r>
        <w:rPr>
          <w:rFonts w:cstheme="minorHAnsi"/>
        </w:rPr>
        <w:t>O Plano de Ação de Emergência será elaborado e entregue a defesa civil de todos os municípios e localidades que estejam na área de impacto da onda de inundação, com cópia a DAEE, além de cópia para a barragem e cópia para o escritório do empreendimento contendo um Volume Geral e um conjunto de Anexos.</w:t>
      </w:r>
    </w:p>
    <w:p>
      <w:pPr>
        <w:spacing w:after="0" w:line="360" w:lineRule="auto"/>
        <w:jc w:val="both"/>
        <w:rPr>
          <w:rFonts w:cstheme="minorHAnsi"/>
        </w:rPr>
      </w:pPr>
      <w:r>
        <w:rPr>
          <w:rFonts w:cstheme="minorHAnsi"/>
        </w:rPr>
        <w:t>Adicionalmente deverá ser entregue ao CONTRATANTE uma memória descritiva, independente do PAE, apresentando as condições, as metodologias e os resultados da modelagem da cheia induzida pela ruptura da barragem e da cheia de dimensionamento do vertedouro.</w:t>
      </w:r>
    </w:p>
    <w:p>
      <w:pPr>
        <w:spacing w:after="0" w:line="360" w:lineRule="auto"/>
        <w:jc w:val="both"/>
        <w:rPr>
          <w:rFonts w:cstheme="minorHAnsi"/>
        </w:rPr>
      </w:pPr>
      <w:r>
        <w:rPr>
          <w:rFonts w:cstheme="minorHAnsi"/>
        </w:rPr>
        <w:t>Os produtos devem ser entregues ao CONTRATANTE em duas vias: em papel e em arquivo digital. Os dados brutos dos levantamentos serão fornecidos em meio digital através da entrega de HD’s externos.</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bookmarkStart w:id="54" w:name="_Toc528571187"/>
      <w:r>
        <w:rPr>
          <w:rFonts w:eastAsia="Times New Roman" w:asciiTheme="minorHAnsi" w:hAnsiTheme="minorHAnsi" w:cstheme="minorHAnsi"/>
          <w:b/>
          <w:color w:val="auto"/>
          <w:sz w:val="24"/>
          <w:szCs w:val="24"/>
        </w:rPr>
        <w:t>Prazo de entrega</w:t>
      </w:r>
      <w:bookmarkEnd w:id="54"/>
    </w:p>
    <w:p>
      <w:pPr>
        <w:spacing w:after="0" w:line="360" w:lineRule="auto"/>
        <w:jc w:val="both"/>
        <w:rPr>
          <w:rFonts w:cstheme="minorHAnsi"/>
        </w:rPr>
      </w:pPr>
      <w:r>
        <w:rPr>
          <w:rFonts w:cstheme="minorHAnsi"/>
        </w:rPr>
        <w:t>A entrega será realizada por cada Volume composto neste termo, totalizando 6 (seis) meses de serviços para a apresentação de todos os Volumes.</w:t>
      </w:r>
    </w:p>
    <w:p>
      <w:pPr>
        <w:pStyle w:val="2"/>
        <w:numPr>
          <w:ilvl w:val="0"/>
          <w:numId w:val="15"/>
        </w:numPr>
        <w:spacing w:line="360" w:lineRule="auto"/>
        <w:ind w:left="357" w:hanging="357"/>
        <w:rPr>
          <w:rFonts w:eastAsia="Times New Roman" w:asciiTheme="minorHAnsi" w:hAnsiTheme="minorHAnsi" w:cstheme="minorHAnsi"/>
          <w:b/>
          <w:color w:val="auto"/>
          <w:sz w:val="24"/>
          <w:szCs w:val="24"/>
        </w:rPr>
      </w:pPr>
      <w:r>
        <w:rPr>
          <w:rFonts w:eastAsia="Times New Roman" w:asciiTheme="minorHAnsi" w:hAnsiTheme="minorHAnsi" w:cstheme="minorHAnsi"/>
          <w:b/>
          <w:color w:val="auto"/>
          <w:sz w:val="24"/>
          <w:szCs w:val="24"/>
        </w:rPr>
        <w:t>Pagamentos</w:t>
      </w:r>
    </w:p>
    <w:p>
      <w:pPr>
        <w:spacing w:after="0" w:line="360" w:lineRule="auto"/>
        <w:jc w:val="both"/>
        <w:rPr>
          <w:rFonts w:cstheme="minorHAnsi"/>
        </w:rPr>
      </w:pPr>
      <w:r>
        <w:rPr>
          <w:rFonts w:cstheme="minorHAnsi"/>
        </w:rPr>
        <w:t>As medições serão pagas mensalmente, 7 dias a contar a data da emissão da nota, por volume executado e após aprovação do conteúdo pela equipe técnica da CODEN, e a última medição referente à 50% (cinquenta) do contrato, fica condicionado a aprovação do Plano de Segurança de Barragem – PSB junto ao DAEE, inclusive realizando as alterações solicitadas, conforme cronograma anexo.</w:t>
      </w:r>
    </w:p>
    <w:p>
      <w:pPr>
        <w:spacing w:after="0" w:line="360" w:lineRule="auto"/>
        <w:jc w:val="both"/>
        <w:rPr>
          <w:rFonts w:cstheme="minorHAnsi"/>
        </w:rPr>
      </w:pPr>
    </w:p>
    <w:p>
      <w:pPr>
        <w:spacing w:after="0" w:line="360" w:lineRule="auto"/>
        <w:jc w:val="center"/>
        <w:rPr>
          <w:rFonts w:cstheme="minorHAnsi"/>
        </w:rPr>
      </w:pPr>
    </w:p>
    <w:p>
      <w:pPr>
        <w:spacing w:after="0" w:line="360" w:lineRule="auto"/>
        <w:jc w:val="center"/>
        <w:rPr>
          <w:rFonts w:cstheme="minorHAnsi"/>
        </w:rPr>
      </w:pPr>
      <w:r>
        <w:rPr>
          <w:rFonts w:cstheme="minorHAnsi"/>
        </w:rPr>
        <w:t xml:space="preserve">Nova Odessa, </w:t>
      </w:r>
      <w:r>
        <w:rPr>
          <w:rFonts w:hint="default" w:cstheme="minorHAnsi"/>
          <w:lang w:val="pt-BR"/>
        </w:rPr>
        <w:t>12</w:t>
      </w:r>
      <w:r>
        <w:rPr>
          <w:rFonts w:cstheme="minorHAnsi"/>
        </w:rPr>
        <w:t xml:space="preserve"> de </w:t>
      </w:r>
      <w:r>
        <w:rPr>
          <w:rFonts w:hint="default" w:cstheme="minorHAnsi"/>
          <w:lang w:val="pt-BR"/>
        </w:rPr>
        <w:t>agosto</w:t>
      </w:r>
      <w:r>
        <w:rPr>
          <w:rFonts w:cstheme="minorHAnsi"/>
        </w:rPr>
        <w:t xml:space="preserve"> de 2019</w:t>
      </w:r>
    </w:p>
    <w:p>
      <w:pPr>
        <w:spacing w:after="0" w:line="360" w:lineRule="auto"/>
        <w:jc w:val="center"/>
        <w:rPr>
          <w:rFonts w:cstheme="minorHAnsi"/>
        </w:rPr>
      </w:pPr>
    </w:p>
    <w:p>
      <w:pPr>
        <w:spacing w:after="0" w:line="360" w:lineRule="auto"/>
        <w:jc w:val="right"/>
        <w:rPr>
          <w:rFonts w:cstheme="minorHAnsi"/>
        </w:rPr>
      </w:pPr>
    </w:p>
    <w:p>
      <w:pPr>
        <w:spacing w:after="0" w:line="360" w:lineRule="auto"/>
        <w:jc w:val="right"/>
        <w:rPr>
          <w:rFonts w:cstheme="minorHAnsi"/>
        </w:rPr>
      </w:pPr>
    </w:p>
    <w:p>
      <w:pPr>
        <w:spacing w:after="0" w:line="360" w:lineRule="auto"/>
        <w:jc w:val="center"/>
        <w:rPr>
          <w:rFonts w:cstheme="minorHAnsi"/>
          <w:b/>
          <w:bCs/>
          <w:sz w:val="22"/>
          <w:szCs w:val="22"/>
        </w:rPr>
      </w:pPr>
      <w:bookmarkStart w:id="55" w:name="_Hlk509236340"/>
      <w:r>
        <w:rPr>
          <w:rFonts w:cstheme="minorHAnsi"/>
          <w:b/>
          <w:bCs/>
          <w:sz w:val="22"/>
          <w:szCs w:val="22"/>
        </w:rPr>
        <w:t>Rean Gustavo Sobrinho</w:t>
      </w:r>
    </w:p>
    <w:bookmarkEnd w:id="55"/>
    <w:p>
      <w:pPr>
        <w:spacing w:after="0" w:line="360" w:lineRule="auto"/>
        <w:jc w:val="center"/>
        <w:rPr>
          <w:rFonts w:cstheme="minorHAnsi"/>
          <w:b/>
          <w:bCs/>
          <w:sz w:val="22"/>
          <w:szCs w:val="22"/>
        </w:rPr>
      </w:pPr>
      <w:r>
        <w:rPr>
          <w:rFonts w:cstheme="minorHAnsi"/>
          <w:b/>
          <w:bCs/>
          <w:sz w:val="22"/>
          <w:szCs w:val="22"/>
        </w:rPr>
        <w:t>Gerente Técnico Operacional</w:t>
      </w:r>
    </w:p>
    <w:p>
      <w:pPr>
        <w:spacing w:after="0" w:line="360" w:lineRule="auto"/>
        <w:jc w:val="center"/>
        <w:rPr>
          <w:rFonts w:cstheme="minorHAnsi"/>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p>
      <w:pPr>
        <w:wordWrap/>
        <w:spacing w:before="92" w:line="240" w:lineRule="auto"/>
        <w:ind w:left="0" w:leftChars="0" w:right="50" w:rightChars="0" w:firstLine="0" w:firstLineChars="0"/>
        <w:jc w:val="center"/>
        <w:rPr>
          <w:rFonts w:asciiTheme="minorHAnsi" w:hAnsiTheme="minorHAnsi" w:eastAsiaTheme="minorHAnsi" w:cstheme="minorBidi"/>
          <w:color w:val="auto"/>
          <w:sz w:val="22"/>
          <w:szCs w:val="22"/>
          <w:lang w:eastAsia="en-US"/>
        </w:rPr>
      </w:pPr>
    </w:p>
    <w:sdt>
      <w:sdtPr>
        <w:rPr>
          <w:rFonts w:asciiTheme="minorHAnsi" w:hAnsiTheme="minorHAnsi" w:eastAsiaTheme="minorHAnsi" w:cstheme="minorBidi"/>
          <w:color w:val="auto"/>
          <w:sz w:val="22"/>
          <w:szCs w:val="22"/>
          <w:lang w:eastAsia="en-US"/>
        </w:rPr>
        <w:id w:val="-621383714"/>
        <w:showingPlcHdr/>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pPr>
            <w:wordWrap/>
            <w:spacing w:before="92" w:line="240" w:lineRule="auto"/>
            <w:ind w:left="0" w:leftChars="0" w:right="50" w:rightChars="0" w:firstLine="0" w:firstLineChars="0"/>
            <w:jc w:val="center"/>
            <w:rPr>
              <w:rFonts w:hint="default" w:cs="Arial"/>
              <w:b/>
              <w:sz w:val="22"/>
              <w:szCs w:val="22"/>
              <w:lang w:val="pt-BR"/>
            </w:rPr>
          </w:pPr>
        </w:p>
      </w:sdtContent>
    </w:sdt>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spacing w:before="92"/>
        <w:ind w:left="775" w:right="770" w:firstLine="0"/>
        <w:jc w:val="center"/>
        <w:rPr>
          <w:rFonts w:hint="default" w:ascii="Arial" w:hAnsi="Arial" w:cs="Arial"/>
          <w:b/>
          <w:sz w:val="22"/>
          <w:szCs w:val="22"/>
        </w:rPr>
      </w:pPr>
      <w:r>
        <w:rPr>
          <w:rFonts w:hint="default" w:ascii="Arial" w:hAnsi="Arial" w:cs="Arial"/>
          <w:b/>
          <w:sz w:val="22"/>
          <w:szCs w:val="22"/>
        </w:rPr>
        <w:t xml:space="preserve">ANEXO </w:t>
      </w:r>
      <w:r>
        <w:rPr>
          <w:rFonts w:hint="default" w:cs="Arial"/>
          <w:b/>
          <w:sz w:val="22"/>
          <w:szCs w:val="22"/>
          <w:lang w:val="pt-BR"/>
        </w:rPr>
        <w:t>I</w:t>
      </w:r>
      <w:r>
        <w:rPr>
          <w:rFonts w:hint="default" w:ascii="Arial" w:hAnsi="Arial" w:cs="Arial"/>
          <w:b/>
          <w:sz w:val="22"/>
          <w:szCs w:val="22"/>
        </w:rPr>
        <w:t>I – LINK</w:t>
      </w:r>
    </w:p>
    <w:p>
      <w:pPr>
        <w:pStyle w:val="6"/>
        <w:rPr>
          <w:rFonts w:hint="default" w:ascii="Arial" w:hAnsi="Arial" w:cs="Arial"/>
          <w:b/>
          <w:sz w:val="22"/>
          <w:szCs w:val="22"/>
        </w:rPr>
      </w:pPr>
    </w:p>
    <w:p>
      <w:pPr>
        <w:spacing w:before="0"/>
        <w:ind w:left="774" w:right="774" w:firstLine="0"/>
        <w:jc w:val="center"/>
        <w:rPr>
          <w:rFonts w:hint="default" w:ascii="Arial" w:hAnsi="Arial" w:cs="Arial"/>
          <w:b/>
          <w:sz w:val="22"/>
          <w:szCs w:val="22"/>
        </w:rPr>
      </w:pPr>
      <w:r>
        <w:rPr>
          <w:rFonts w:hint="default" w:ascii="Arial" w:hAnsi="Arial" w:cs="Arial"/>
          <w:b/>
          <w:sz w:val="22"/>
          <w:szCs w:val="22"/>
        </w:rPr>
        <w:t>O link abaixo contém os seguintes arquivos:</w:t>
      </w:r>
    </w:p>
    <w:p>
      <w:pPr>
        <w:pStyle w:val="6"/>
        <w:spacing w:before="1"/>
        <w:rPr>
          <w:rFonts w:hint="default" w:ascii="Arial" w:hAnsi="Arial" w:cs="Arial"/>
          <w:b/>
          <w:sz w:val="22"/>
          <w:szCs w:val="22"/>
        </w:rPr>
      </w:pPr>
    </w:p>
    <w:p>
      <w:pPr>
        <w:pStyle w:val="19"/>
        <w:numPr>
          <w:ilvl w:val="0"/>
          <w:numId w:val="36"/>
        </w:numPr>
        <w:tabs>
          <w:tab w:val="left" w:pos="1441"/>
          <w:tab w:val="left" w:pos="1442"/>
        </w:tabs>
        <w:spacing w:before="0" w:after="0" w:line="240" w:lineRule="auto"/>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Cronograma de Atividades;</w:t>
      </w:r>
    </w:p>
    <w:p>
      <w:pPr>
        <w:pStyle w:val="19"/>
        <w:numPr>
          <w:ilvl w:val="0"/>
          <w:numId w:val="0"/>
        </w:numPr>
        <w:tabs>
          <w:tab w:val="left" w:pos="1441"/>
          <w:tab w:val="left" w:pos="1442"/>
        </w:tabs>
        <w:spacing w:before="40" w:after="0" w:line="292" w:lineRule="exact"/>
        <w:ind w:left="1082" w:leftChars="0" w:right="0" w:rightChars="0"/>
        <w:jc w:val="left"/>
        <w:rPr>
          <w:rFonts w:hint="default" w:ascii="Arial" w:hAnsi="Arial" w:cs="Arial"/>
          <w:color w:val="FF0000"/>
          <w:sz w:val="22"/>
          <w:szCs w:val="22"/>
        </w:rPr>
      </w:pPr>
    </w:p>
    <w:p>
      <w:pPr>
        <w:pStyle w:val="6"/>
        <w:rPr>
          <w:rFonts w:hint="default" w:ascii="Arial" w:hAnsi="Arial" w:cs="Arial"/>
          <w:b/>
          <w:sz w:val="22"/>
          <w:szCs w:val="22"/>
        </w:rPr>
      </w:pPr>
    </w:p>
    <w:p>
      <w:pPr>
        <w:pStyle w:val="6"/>
        <w:rPr>
          <w:rFonts w:hint="default" w:ascii="Arial" w:hAnsi="Arial" w:cs="Arial"/>
          <w:b/>
          <w:sz w:val="22"/>
          <w:szCs w:val="22"/>
        </w:rPr>
      </w:pPr>
    </w:p>
    <w:p>
      <w:pPr>
        <w:pStyle w:val="6"/>
        <w:spacing w:before="183"/>
        <w:ind w:left="1442"/>
        <w:rPr>
          <w:rFonts w:hint="default" w:ascii="Arial" w:hAnsi="Arial" w:cs="Arial"/>
          <w:color w:val="auto"/>
          <w:sz w:val="22"/>
          <w:szCs w:val="22"/>
          <w:lang w:val="pt-BR"/>
        </w:rPr>
      </w:pPr>
      <w:r>
        <w:rPr>
          <w:rFonts w:hint="default" w:ascii="Arial" w:hAnsi="Arial" w:cs="Arial"/>
          <w:color w:val="auto"/>
          <w:sz w:val="22"/>
          <w:szCs w:val="22"/>
        </w:rPr>
        <w:fldChar w:fldCharType="begin"/>
      </w:r>
      <w:r>
        <w:rPr>
          <w:rFonts w:hint="default" w:ascii="Arial" w:hAnsi="Arial" w:cs="Arial"/>
          <w:color w:val="auto"/>
          <w:sz w:val="22"/>
          <w:szCs w:val="22"/>
        </w:rPr>
        <w:instrText xml:space="preserve"> HYPERLINK "http://download.codemig.com.br/GESUP/MDF07.2018.zip" \h </w:instrText>
      </w:r>
      <w:r>
        <w:rPr>
          <w:rFonts w:hint="default" w:ascii="Arial" w:hAnsi="Arial" w:cs="Arial"/>
          <w:color w:val="auto"/>
          <w:sz w:val="22"/>
          <w:szCs w:val="22"/>
        </w:rPr>
        <w:fldChar w:fldCharType="separate"/>
      </w:r>
      <w:r>
        <w:rPr>
          <w:rFonts w:hint="default" w:ascii="Arial" w:hAnsi="Arial" w:cs="Arial"/>
          <w:color w:val="auto"/>
          <w:sz w:val="22"/>
          <w:szCs w:val="22"/>
          <w:u w:val="single" w:color="0462C1"/>
        </w:rPr>
        <w:t>http:/</w:t>
      </w:r>
      <w:r>
        <w:rPr>
          <w:rFonts w:hint="default" w:ascii="Arial" w:hAnsi="Arial" w:cs="Arial"/>
          <w:color w:val="auto"/>
          <w:sz w:val="22"/>
          <w:szCs w:val="22"/>
          <w:u w:val="single" w:color="0462C1"/>
          <w:lang w:val="pt-BR"/>
        </w:rPr>
        <w:t xml:space="preserve"> i</w:t>
      </w:r>
      <w:r>
        <w:rPr>
          <w:rFonts w:hint="default" w:ascii="Arial" w:hAnsi="Arial" w:cs="Arial"/>
          <w:color w:val="auto"/>
          <w:sz w:val="22"/>
          <w:szCs w:val="22"/>
          <w:u w:val="single" w:color="0462C1"/>
        </w:rPr>
        <w:fldChar w:fldCharType="end"/>
      </w:r>
      <w:r>
        <w:rPr>
          <w:rFonts w:hint="default" w:ascii="Arial" w:hAnsi="Arial" w:cs="Arial"/>
          <w:color w:val="auto"/>
          <w:sz w:val="22"/>
          <w:szCs w:val="22"/>
          <w:lang w:val="pt-BR"/>
        </w:rPr>
        <w:t>nserir link</w:t>
      </w:r>
    </w:p>
    <w:p>
      <w:pPr>
        <w:spacing w:after="0"/>
        <w:rPr>
          <w:rFonts w:hint="default" w:ascii="Arial" w:hAnsi="Arial" w:cs="Arial"/>
          <w:color w:val="auto"/>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III -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 nº</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both"/>
        <w:rPr>
          <w:rFonts w:hint="default" w:cs="Arial"/>
          <w:b/>
          <w:bCs/>
          <w:sz w:val="22"/>
          <w:szCs w:val="22"/>
          <w:lang w:val="pt-BR"/>
        </w:rPr>
      </w:pPr>
      <w:r>
        <w:rPr>
          <w:rFonts w:hint="default" w:cs="Arial"/>
          <w:b/>
          <w:bCs/>
          <w:sz w:val="22"/>
          <w:szCs w:val="22"/>
          <w:lang w:val="pt-BR"/>
        </w:rPr>
        <w:t xml:space="preserve">REFERÊNCIA: </w:t>
      </w:r>
      <w:r>
        <w:rPr>
          <w:rFonts w:hint="default" w:ascii="Arial" w:hAnsi="Arial" w:cs="Arial"/>
          <w:b/>
          <w:bCs/>
          <w:sz w:val="22"/>
          <w:szCs w:val="22"/>
        </w:rPr>
        <w:t>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wordWrap/>
        <w:spacing w:before="92" w:line="240" w:lineRule="auto"/>
        <w:ind w:left="0" w:leftChars="0" w:right="50" w:rightChars="0" w:firstLine="0" w:firstLineChars="0"/>
        <w:jc w:val="center"/>
        <w:rPr>
          <w:rFonts w:hint="default" w:cs="Arial"/>
          <w:b/>
          <w:sz w:val="22"/>
          <w:szCs w:val="22"/>
          <w:lang w:val="pt-BR"/>
        </w:rPr>
      </w:pPr>
    </w:p>
    <w:p>
      <w:pPr>
        <w:pStyle w:val="21"/>
        <w:widowControl/>
        <w:ind w:left="0" w:leftChars="0" w:right="48" w:rightChars="22" w:firstLine="0" w:firstLineChars="0"/>
        <w:jc w:val="both"/>
        <w:rPr>
          <w:rFonts w:hint="default" w:cs="Arial"/>
          <w:b w:val="0"/>
          <w:bCs/>
          <w:sz w:val="22"/>
          <w:szCs w:val="22"/>
          <w:lang w:val="pt-BR"/>
        </w:rPr>
      </w:pPr>
      <w:r>
        <w:rPr>
          <w:rFonts w:hint="default" w:cs="Arial"/>
          <w:b w:val="0"/>
          <w:bCs/>
          <w:sz w:val="22"/>
          <w:szCs w:val="22"/>
          <w:lang w:val="pt-BR"/>
        </w:rPr>
        <w:t xml:space="preserve">Declaramos o pleno atendimento aos requisitos de habilitação, do Processo Licitatório na modalidade </w:t>
      </w:r>
      <w:r>
        <w:rPr>
          <w:rFonts w:hint="default" w:cs="Arial"/>
          <w:b/>
          <w:bCs w:val="0"/>
          <w:sz w:val="22"/>
          <w:szCs w:val="22"/>
          <w:lang w:val="pt-BR"/>
        </w:rPr>
        <w:t>Licitação Presencial n° 0002/2019 - Modo de Disputa Aberto</w:t>
      </w:r>
      <w:r>
        <w:rPr>
          <w:rFonts w:hint="default" w:cs="Arial"/>
          <w:b w:val="0"/>
          <w:bCs/>
          <w:sz w:val="22"/>
          <w:szCs w:val="22"/>
          <w:lang w:val="pt-BR"/>
        </w:rPr>
        <w:t xml:space="preserve">, Processo Administrativo nº. 5292/2019, cujo objeto é a </w:t>
      </w:r>
      <w:r>
        <w:rPr>
          <w:rFonts w:hint="default" w:cs="Arial"/>
          <w:b w:val="0"/>
          <w:bCs/>
          <w:color w:val="000000" w:themeColor="text1"/>
          <w:sz w:val="22"/>
          <w:szCs w:val="22"/>
          <w:lang w:val="pt-BR"/>
          <w14:textFill>
            <w14:solidFill>
              <w14:schemeClr w14:val="tx1"/>
            </w14:solidFill>
          </w14:textFill>
        </w:rPr>
        <w:t>c</w:t>
      </w:r>
      <w:r>
        <w:rPr>
          <w:rFonts w:cs="Arial"/>
          <w:color w:val="000000" w:themeColor="text1"/>
          <w:sz w:val="22"/>
          <w:szCs w:val="22"/>
          <w:lang w:val="pt-BR"/>
          <w14:textFill>
            <w14:solidFill>
              <w14:schemeClr w14:val="tx1"/>
            </w14:solidFill>
          </w14:textFill>
        </w:rPr>
        <w:t>ontratação de empresa especializada para a elaboração do Plano de Segurança de Barragem - PSB de 4 barragens, visando o cumprimento da lei 12.334, de 20 de setembro de 2010, conforme especificações do Termo de Referência</w:t>
      </w:r>
      <w:r>
        <w:rPr>
          <w:rFonts w:cs="Arial"/>
          <w:color w:val="FF0000"/>
          <w:sz w:val="22"/>
          <w:szCs w:val="22"/>
          <w:lang w:val="pt-BR"/>
        </w:rPr>
        <w:t>,</w:t>
      </w:r>
      <w:r>
        <w:rPr>
          <w:rFonts w:hint="default" w:cs="Arial"/>
          <w:b w:val="0"/>
          <w:bCs/>
          <w:sz w:val="22"/>
          <w:szCs w:val="22"/>
          <w:lang w:val="pt-BR"/>
        </w:rPr>
        <w:t xml:space="preserve"> sob pena prevista no art. 299 do Código Penal.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_______________, _____ de __________________ de 2.019.</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auto"/>
          <w:sz w:val="22"/>
          <w:szCs w:val="22"/>
          <w:lang w:val="pt-BR"/>
        </w:rPr>
      </w:pPr>
      <w:r>
        <w:rPr>
          <w:rFonts w:hint="default" w:cs="Arial"/>
          <w:b w:val="0"/>
          <w:bCs/>
          <w:color w:val="auto"/>
          <w:sz w:val="22"/>
          <w:szCs w:val="22"/>
          <w:lang w:val="pt-BR"/>
        </w:rPr>
        <w:t xml:space="preserve"> Obs.: Esta declaração deverá ser apresentada fora dos envelopes “Proposta” e de “Documentação”;</w:t>
      </w:r>
    </w:p>
    <w:p>
      <w:pPr>
        <w:pStyle w:val="6"/>
        <w:spacing w:before="10"/>
        <w:jc w:val="both"/>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6"/>
        <w:spacing w:before="10"/>
        <w:rPr>
          <w:rFonts w:hint="default" w:ascii="Arial" w:hAnsi="Arial" w:cs="Arial"/>
          <w:b w:val="0"/>
          <w:bCs/>
          <w:color w:val="000000" w:themeColor="text1"/>
          <w:sz w:val="22"/>
          <w:szCs w:val="22"/>
          <w14:textFill>
            <w14:solidFill>
              <w14:schemeClr w14:val="tx1"/>
            </w14:solidFill>
          </w14:textFill>
        </w:rPr>
      </w:pPr>
    </w:p>
    <w:p>
      <w:pPr>
        <w:pStyle w:val="2"/>
        <w:spacing w:before="92"/>
        <w:ind w:left="2915"/>
        <w:rPr>
          <w:rFonts w:hint="default" w:ascii="Arial" w:hAnsi="Arial" w:cs="Arial"/>
          <w:sz w:val="22"/>
          <w:szCs w:val="22"/>
        </w:rPr>
      </w:pPr>
      <w:r>
        <w:rPr>
          <w:rFonts w:hint="default" w:ascii="Arial" w:hAnsi="Arial" w:cs="Arial"/>
          <w:sz w:val="22"/>
          <w:szCs w:val="22"/>
        </w:rPr>
        <w:t>ANEXO I</w:t>
      </w:r>
      <w:r>
        <w:rPr>
          <w:rFonts w:hint="default" w:cs="Arial"/>
          <w:sz w:val="22"/>
          <w:szCs w:val="22"/>
          <w:lang w:val="pt-BR"/>
        </w:rPr>
        <w:t>V</w:t>
      </w:r>
      <w:r>
        <w:rPr>
          <w:rFonts w:hint="default" w:ascii="Arial" w:hAnsi="Arial" w:cs="Arial"/>
          <w:sz w:val="22"/>
          <w:szCs w:val="22"/>
        </w:rPr>
        <w:t xml:space="preserve"> - MINUTA DO CONTRATO</w:t>
      </w:r>
    </w:p>
    <w:p>
      <w:pPr>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418" w:leftChars="190" w:right="268" w:rightChars="122" w:firstLine="20" w:firstLineChars="9"/>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5292</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418" w:leftChars="190" w:right="268" w:rightChars="122" w:firstLine="20" w:firstLineChars="9"/>
        <w:jc w:val="both"/>
        <w:textAlignment w:val="auto"/>
        <w:outlineLvl w:val="9"/>
        <w:rPr>
          <w:rFonts w:hint="default" w:ascii="Arial" w:hAnsi="Arial" w:cs="Arial"/>
          <w:b/>
          <w:sz w:val="22"/>
          <w:szCs w:val="22"/>
          <w:lang w:val="pt-BR"/>
        </w:rPr>
      </w:pPr>
      <w:r>
        <w:rPr>
          <w:rFonts w:hint="default" w:ascii="Arial" w:hAnsi="Arial" w:cs="Arial"/>
          <w:b/>
          <w:sz w:val="22"/>
          <w:szCs w:val="22"/>
          <w:lang w:val="pt-BR"/>
        </w:rPr>
        <w:t xml:space="preserve">LICITAÇÃO PRESENCIAL </w:t>
      </w:r>
      <w:r>
        <w:rPr>
          <w:rFonts w:hint="default" w:cs="Arial"/>
          <w:b/>
          <w:sz w:val="22"/>
          <w:szCs w:val="22"/>
          <w:lang w:val="pt-BR"/>
        </w:rPr>
        <w:t xml:space="preserve">- </w:t>
      </w:r>
      <w:r>
        <w:rPr>
          <w:rFonts w:hint="default" w:ascii="Arial" w:hAnsi="Arial" w:cs="Arial"/>
          <w:b/>
          <w:sz w:val="22"/>
          <w:szCs w:val="22"/>
          <w:lang w:val="pt-BR"/>
        </w:rPr>
        <w:t xml:space="preserve">MODO DE DISPUTA ABERTO Nº </w:t>
      </w:r>
      <w:r>
        <w:rPr>
          <w:rFonts w:hint="default" w:cs="Arial"/>
          <w:b/>
          <w:sz w:val="22"/>
          <w:szCs w:val="22"/>
          <w:lang w:val="pt-BR"/>
        </w:rPr>
        <w:t>0002</w:t>
      </w:r>
      <w:r>
        <w:rPr>
          <w:rFonts w:hint="default" w:ascii="Arial" w:hAnsi="Arial" w:cs="Arial"/>
          <w:b/>
          <w:sz w:val="22"/>
          <w:szCs w:val="22"/>
          <w:lang w:val="pt-BR"/>
        </w:rPr>
        <w:t>/201</w:t>
      </w:r>
      <w:r>
        <w:rPr>
          <w:rFonts w:hint="default" w:cs="Arial"/>
          <w:b/>
          <w:sz w:val="22"/>
          <w:szCs w:val="22"/>
          <w:lang w:val="pt-BR"/>
        </w:rPr>
        <w:t>9</w:t>
      </w:r>
      <w:r>
        <w:rPr>
          <w:rFonts w:hint="default" w:ascii="Arial" w:hAnsi="Arial" w:cs="Arial"/>
          <w:b/>
          <w:sz w:val="22"/>
          <w:szCs w:val="22"/>
          <w:lang w:val="pt-BR"/>
        </w:rPr>
        <w:t xml:space="preserve"> </w:t>
      </w:r>
    </w:p>
    <w:p>
      <w:pPr>
        <w:keepNext w:val="0"/>
        <w:keepLines w:val="0"/>
        <w:pageBreakBefore w:val="0"/>
        <w:widowControl w:val="0"/>
        <w:kinsoku/>
        <w:wordWrap/>
        <w:overflowPunct/>
        <w:topLinePunct w:val="0"/>
        <w:autoSpaceDE w:val="0"/>
        <w:autoSpaceDN w:val="0"/>
        <w:bidi w:val="0"/>
        <w:adjustRightInd/>
        <w:snapToGrid/>
        <w:ind w:left="418" w:leftChars="190" w:right="268" w:rightChars="122" w:firstLine="20" w:firstLineChars="9"/>
        <w:jc w:val="both"/>
        <w:textAlignment w:val="auto"/>
        <w:outlineLvl w:val="9"/>
        <w:rPr>
          <w:rFonts w:hint="default" w:ascii="Arial" w:hAnsi="Arial" w:cs="Arial"/>
          <w:b/>
          <w:sz w:val="22"/>
          <w:szCs w:val="22"/>
        </w:rPr>
      </w:pP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6"/>
        <w:ind w:left="418" w:leftChars="190" w:right="268" w:rightChars="122" w:firstLine="20" w:firstLineChars="9"/>
        <w:rPr>
          <w:rFonts w:hint="default" w:ascii="Arial" w:hAnsi="Arial" w:cs="Arial"/>
          <w:b/>
          <w:sz w:val="22"/>
          <w:szCs w:val="22"/>
        </w:rPr>
      </w:pPr>
    </w:p>
    <w:p>
      <w:pPr>
        <w:spacing w:before="0"/>
        <w:ind w:left="418" w:leftChars="190" w:right="268" w:rightChars="122" w:firstLine="19" w:firstLineChars="9"/>
        <w:jc w:val="both"/>
        <w:rPr>
          <w:rFonts w:hint="default" w:ascii="Arial" w:hAnsi="Arial" w:cs="Arial"/>
          <w:sz w:val="22"/>
          <w:szCs w:val="22"/>
        </w:rPr>
      </w:pPr>
      <w:r>
        <w:rPr>
          <w:rFonts w:hint="default" w:ascii="Arial" w:hAnsi="Arial" w:cs="Arial"/>
          <w:b w:val="0"/>
          <w:bCs/>
          <w:sz w:val="22"/>
          <w:szCs w:val="22"/>
        </w:rPr>
        <w:t xml:space="preserve">Aos </w:t>
      </w:r>
      <w:r>
        <w:rPr>
          <w:rFonts w:hint="default" w:cs="Arial"/>
          <w:b/>
          <w:bCs w:val="0"/>
          <w:sz w:val="22"/>
          <w:szCs w:val="22"/>
          <w:lang w:val="pt-BR"/>
        </w:rPr>
        <w:t>xxx</w:t>
      </w:r>
      <w:r>
        <w:rPr>
          <w:rFonts w:hint="default" w:ascii="Arial" w:hAnsi="Arial" w:cs="Arial"/>
          <w:b/>
          <w:bCs w:val="0"/>
          <w:sz w:val="22"/>
          <w:szCs w:val="22"/>
        </w:rPr>
        <w:t xml:space="preserve"> dias do mês de </w:t>
      </w:r>
      <w:r>
        <w:rPr>
          <w:rFonts w:hint="default" w:cs="Arial"/>
          <w:b/>
          <w:bCs w:val="0"/>
          <w:sz w:val="22"/>
          <w:szCs w:val="22"/>
          <w:lang w:val="pt-BR"/>
        </w:rPr>
        <w:t>xxxx</w:t>
      </w:r>
      <w:r>
        <w:rPr>
          <w:rFonts w:hint="default" w:ascii="Arial" w:hAnsi="Arial" w:cs="Arial"/>
          <w:b/>
          <w:bCs w:val="0"/>
          <w:sz w:val="22"/>
          <w:szCs w:val="22"/>
        </w:rPr>
        <w:t xml:space="preserve"> do ano de dois mil e deze</w:t>
      </w:r>
      <w:r>
        <w:rPr>
          <w:rFonts w:hint="default" w:ascii="Arial" w:hAnsi="Arial" w:cs="Arial"/>
          <w:b/>
          <w:bCs w:val="0"/>
          <w:sz w:val="22"/>
          <w:szCs w:val="22"/>
          <w:lang w:val="pt-BR"/>
        </w:rPr>
        <w:t>nove</w:t>
      </w:r>
      <w:r>
        <w:rPr>
          <w:rFonts w:hint="default" w:ascii="Arial" w:hAnsi="Arial" w:cs="Arial"/>
          <w:b/>
          <w:bCs w:val="0"/>
          <w:sz w:val="22"/>
          <w:szCs w:val="22"/>
        </w:rPr>
        <w:t xml:space="preserve"> (</w:t>
      </w:r>
      <w:r>
        <w:rPr>
          <w:rFonts w:hint="default" w:cs="Arial"/>
          <w:b/>
          <w:bCs w:val="0"/>
          <w:sz w:val="22"/>
          <w:szCs w:val="22"/>
          <w:lang w:val="pt-BR"/>
        </w:rPr>
        <w:t>xx</w:t>
      </w:r>
      <w:r>
        <w:rPr>
          <w:rFonts w:hint="default" w:ascii="Arial" w:hAnsi="Arial" w:cs="Arial"/>
          <w:b/>
          <w:bCs w:val="0"/>
          <w:sz w:val="22"/>
          <w:szCs w:val="22"/>
        </w:rPr>
        <w:t>/</w:t>
      </w:r>
      <w:r>
        <w:rPr>
          <w:rFonts w:hint="default" w:cs="Arial"/>
          <w:b/>
          <w:bCs w:val="0"/>
          <w:sz w:val="22"/>
          <w:szCs w:val="22"/>
          <w:lang w:val="pt-BR"/>
        </w:rPr>
        <w:t>xx</w:t>
      </w:r>
      <w:r>
        <w:rPr>
          <w:rFonts w:hint="default" w:ascii="Arial" w:hAnsi="Arial" w:cs="Arial"/>
          <w:b/>
          <w:bCs w:val="0"/>
          <w:sz w:val="22"/>
          <w:szCs w:val="22"/>
        </w:rPr>
        <w:t>/201</w:t>
      </w:r>
      <w:r>
        <w:rPr>
          <w:rFonts w:hint="default" w:ascii="Arial" w:hAnsi="Arial" w:cs="Arial"/>
          <w:b/>
          <w:bCs w:val="0"/>
          <w:sz w:val="22"/>
          <w:szCs w:val="22"/>
          <w:lang w:val="pt-BR"/>
        </w:rPr>
        <w:t>9</w:t>
      </w:r>
      <w:r>
        <w:rPr>
          <w:rFonts w:hint="default" w:ascii="Arial" w:hAnsi="Arial" w:cs="Arial"/>
          <w:b/>
          <w:bCs w:val="0"/>
          <w:sz w:val="22"/>
          <w:szCs w:val="22"/>
        </w:rPr>
        <w:t>)</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ascii="Arial" w:hAnsi="Arial"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XXXX, casado, contador,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cs="Arial"/>
          <w:spacing w:val="22"/>
          <w:sz w:val="22"/>
          <w:szCs w:val="22"/>
          <w:lang w:val="pt-BR"/>
        </w:rPr>
        <w:t xml:space="preserve">inscrita no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PRESENCIAL N° </w:t>
      </w:r>
      <w:r>
        <w:rPr>
          <w:rFonts w:hint="default" w:cs="Arial"/>
          <w:b/>
          <w:sz w:val="22"/>
          <w:szCs w:val="22"/>
          <w:lang w:val="pt-BR"/>
        </w:rPr>
        <w:t>0002</w:t>
      </w:r>
      <w:r>
        <w:rPr>
          <w:rFonts w:hint="default" w:ascii="Arial" w:hAnsi="Arial" w:cs="Arial"/>
          <w:b/>
          <w:sz w:val="22"/>
          <w:szCs w:val="22"/>
        </w:rPr>
        <w:t>/201</w:t>
      </w:r>
      <w:r>
        <w:rPr>
          <w:rFonts w:hint="default" w:ascii="Arial" w:hAnsi="Arial" w:cs="Arial"/>
          <w:b/>
          <w:sz w:val="22"/>
          <w:szCs w:val="22"/>
          <w:lang w:val="pt-BR"/>
        </w:rPr>
        <w:t>9</w:t>
      </w:r>
      <w:r>
        <w:rPr>
          <w:rFonts w:hint="default" w:ascii="Arial" w:hAnsi="Arial" w:cs="Arial"/>
          <w:b/>
          <w:sz w:val="22"/>
          <w:szCs w:val="22"/>
        </w:rPr>
        <w:t xml:space="preserve"> - MODO DE DISPUTA </w:t>
      </w:r>
      <w:r>
        <w:rPr>
          <w:rFonts w:hint="default" w:ascii="Arial" w:hAnsi="Arial" w:cs="Arial"/>
          <w:b/>
          <w:sz w:val="22"/>
          <w:szCs w:val="22"/>
          <w:lang w:val="pt-BR"/>
        </w:rPr>
        <w:t>ABERTO</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5292</w:t>
      </w:r>
      <w:bookmarkStart w:id="60" w:name="_GoBack"/>
      <w:bookmarkEnd w:id="60"/>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 OBJETO</w:t>
      </w:r>
    </w:p>
    <w:p>
      <w:pPr>
        <w:pStyle w:val="6"/>
        <w:ind w:left="418" w:leftChars="190" w:right="268" w:rightChars="122" w:firstLine="19" w:firstLineChars="9"/>
        <w:jc w:val="both"/>
        <w:rPr>
          <w:rFonts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Constitui objeto deste contrato </w:t>
      </w:r>
      <w:r>
        <w:rPr>
          <w:rFonts w:ascii="Arial" w:hAnsi="Arial" w:cs="Arial"/>
          <w:b w:val="0"/>
          <w:bCs w:val="0"/>
          <w:color w:val="000000" w:themeColor="text1"/>
          <w:sz w:val="22"/>
          <w:szCs w:val="22"/>
          <w14:textFill>
            <w14:solidFill>
              <w14:schemeClr w14:val="tx1"/>
            </w14:solidFill>
          </w14:textFill>
        </w:rPr>
        <w:t xml:space="preserve"> </w:t>
      </w:r>
      <w:r>
        <w:rPr>
          <w:rFonts w:cs="Arial"/>
          <w:b w:val="0"/>
          <w:bCs w:val="0"/>
          <w:color w:val="000000" w:themeColor="text1"/>
          <w:sz w:val="22"/>
          <w:szCs w:val="22"/>
          <w:lang w:val="pt-BR"/>
          <w14:textFill>
            <w14:solidFill>
              <w14:schemeClr w14:val="tx1"/>
            </w14:solidFill>
          </w14:textFill>
        </w:rPr>
        <w:t>a con</w:t>
      </w:r>
      <w:r>
        <w:rPr>
          <w:rFonts w:cs="Arial"/>
          <w:color w:val="000000" w:themeColor="text1"/>
          <w:sz w:val="22"/>
          <w:szCs w:val="22"/>
          <w:lang w:val="pt-BR"/>
          <w14:textFill>
            <w14:solidFill>
              <w14:schemeClr w14:val="tx1"/>
            </w14:solidFill>
          </w14:textFill>
        </w:rPr>
        <w:t xml:space="preserve">tratação de empresa especializada para a elaboração do Plano de Segurança de Barragem - PSB de 4 barragens, visando o cumprimento da lei 12.334, de 20 de setembro de 2010, conforme especificações do Termo de Referência. </w:t>
      </w:r>
    </w:p>
    <w:p>
      <w:pPr>
        <w:pStyle w:val="6"/>
        <w:spacing w:before="22" w:line="259" w:lineRule="auto"/>
        <w:ind w:left="418" w:leftChars="190" w:right="268" w:rightChars="122" w:firstLine="19" w:firstLineChars="9"/>
        <w:jc w:val="both"/>
        <w:rPr>
          <w:rFonts w:hint="default" w:ascii="Arial" w:hAnsi="Arial" w:cs="Arial"/>
          <w:color w:val="000000" w:themeColor="text1"/>
          <w:sz w:val="22"/>
          <w:szCs w:val="22"/>
          <w:lang w:val="pt-BR"/>
          <w14:textFill>
            <w14:solidFill>
              <w14:schemeClr w14:val="tx1"/>
            </w14:solidFill>
          </w14:textFill>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color w:val="auto"/>
          <w:sz w:val="22"/>
          <w:szCs w:val="22"/>
        </w:rPr>
      </w:pPr>
      <w:r>
        <w:rPr>
          <w:rFonts w:hint="default" w:cs="Arial"/>
          <w:color w:val="auto"/>
          <w:sz w:val="22"/>
          <w:szCs w:val="22"/>
          <w:lang w:val="pt-BR"/>
        </w:rPr>
        <w:t>REGIME DE EXECUÇÃO</w:t>
      </w:r>
    </w:p>
    <w:p>
      <w:pPr>
        <w:ind w:left="418" w:leftChars="190" w:right="268" w:rightChars="122" w:firstLine="19" w:firstLineChars="9"/>
        <w:rPr>
          <w:rFonts w:hint="default"/>
          <w:color w:val="auto"/>
          <w:lang w:val="pt-BR"/>
        </w:rPr>
      </w:pPr>
      <w:r>
        <w:rPr>
          <w:rFonts w:hint="default"/>
          <w:color w:val="auto"/>
        </w:rPr>
        <w:t>O regime de execução deste contrato é o de empreitada por preço</w:t>
      </w:r>
      <w:r>
        <w:rPr>
          <w:rFonts w:hint="default"/>
          <w:color w:val="auto"/>
          <w:lang w:val="pt-BR"/>
        </w:rPr>
        <w:t xml:space="preserve"> global. </w:t>
      </w:r>
    </w:p>
    <w:p>
      <w:pPr>
        <w:ind w:left="418" w:leftChars="190" w:right="268" w:rightChars="122" w:firstLine="19" w:firstLineChars="9"/>
        <w:rPr>
          <w:rFonts w:hint="default"/>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6"/>
        <w:spacing w:before="24"/>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cs="Arial"/>
          <w:sz w:val="22"/>
          <w:szCs w:val="22"/>
          <w:lang w:val="pt-BR"/>
        </w:rPr>
        <w:t xml:space="preserve"> ___</w:t>
      </w:r>
      <w:r>
        <w:rPr>
          <w:rFonts w:hint="default" w:ascii="Arial" w:hAnsi="Arial" w:cs="Arial"/>
          <w:sz w:val="22"/>
          <w:szCs w:val="22"/>
        </w:rPr>
        <w:t>/</w:t>
      </w:r>
      <w:r>
        <w:rPr>
          <w:rFonts w:hint="default" w:cs="Arial"/>
          <w:sz w:val="22"/>
          <w:szCs w:val="22"/>
          <w:lang w:val="pt-BR"/>
        </w:rPr>
        <w:t>___</w:t>
      </w:r>
      <w:r>
        <w:rPr>
          <w:rFonts w:hint="default" w:ascii="Arial" w:hAnsi="Arial" w:cs="Arial"/>
          <w:sz w:val="22"/>
          <w:szCs w:val="22"/>
        </w:rPr>
        <w:t>/</w:t>
      </w:r>
      <w:r>
        <w:rPr>
          <w:rFonts w:hint="default" w:cs="Arial"/>
          <w:sz w:val="22"/>
          <w:szCs w:val="22"/>
          <w:lang w:val="pt-BR"/>
        </w:rPr>
        <w:t>___</w:t>
      </w:r>
      <w:r>
        <w:rPr>
          <w:rFonts w:hint="default" w:ascii="Arial" w:hAnsi="Arial" w:cs="Arial"/>
          <w:sz w:val="22"/>
          <w:szCs w:val="22"/>
        </w:rPr>
        <w:t xml:space="preserve">, bem como o edital da LICITAÇÃO PRESENCIAL N° </w:t>
      </w:r>
      <w:r>
        <w:rPr>
          <w:rFonts w:hint="default" w:cs="Arial"/>
          <w:sz w:val="22"/>
          <w:szCs w:val="22"/>
          <w:lang w:val="pt-BR"/>
        </w:rPr>
        <w:t>0002</w:t>
      </w:r>
      <w:r>
        <w:rPr>
          <w:rFonts w:hint="default" w:ascii="Arial" w:hAnsi="Arial" w:cs="Arial"/>
          <w:sz w:val="22"/>
          <w:szCs w:val="22"/>
        </w:rPr>
        <w:t>/201</w:t>
      </w:r>
      <w:r>
        <w:rPr>
          <w:rFonts w:hint="default" w:ascii="Arial" w:hAnsi="Arial" w:cs="Arial"/>
          <w:sz w:val="22"/>
          <w:szCs w:val="22"/>
          <w:lang w:val="pt-BR"/>
        </w:rPr>
        <w:t>9</w:t>
      </w:r>
      <w:r>
        <w:rPr>
          <w:rFonts w:hint="default" w:ascii="Arial" w:hAnsi="Arial" w:cs="Arial"/>
          <w:sz w:val="22"/>
          <w:szCs w:val="22"/>
        </w:rPr>
        <w:t xml:space="preserve"> - MODO DE DISPUTA </w:t>
      </w:r>
      <w:r>
        <w:rPr>
          <w:rFonts w:hint="default" w:ascii="Arial" w:hAnsi="Arial" w:cs="Arial"/>
          <w:sz w:val="22"/>
          <w:szCs w:val="22"/>
          <w:lang w:val="pt-BR"/>
        </w:rPr>
        <w:t>ABERTO</w:t>
      </w:r>
      <w:r>
        <w:rPr>
          <w:rFonts w:hint="default" w:ascii="Arial" w:hAnsi="Arial" w:cs="Arial"/>
          <w:sz w:val="22"/>
          <w:szCs w:val="22"/>
        </w:rPr>
        <w:t>, independentemente de transcrição.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6"/>
        <w:tabs>
          <w:tab w:val="left" w:pos="1320"/>
        </w:tabs>
        <w:spacing w:before="24"/>
        <w:ind w:left="418" w:leftChars="190" w:right="268" w:rightChars="122" w:firstLine="19" w:firstLineChars="9"/>
        <w:jc w:val="both"/>
        <w:rPr>
          <w:rFonts w:hint="default" w:ascii="Arial" w:hAnsi="Arial" w:cs="Arial"/>
          <w:sz w:val="22"/>
          <w:szCs w:val="22"/>
          <w:lang w:val="pt-BR"/>
        </w:rPr>
      </w:pPr>
      <w:r>
        <w:rPr>
          <w:rFonts w:hint="default" w:ascii="Arial" w:hAnsi="Arial" w:cs="Arial"/>
          <w:sz w:val="22"/>
          <w:szCs w:val="22"/>
        </w:rPr>
        <w:t>Este contrato é regulado pelas suas cláusulas</w:t>
      </w:r>
      <w:r>
        <w:rPr>
          <w:rFonts w:hint="default" w:cs="Arial"/>
          <w:sz w:val="22"/>
          <w:szCs w:val="22"/>
          <w:lang w:val="pt-BR"/>
        </w:rPr>
        <w:t xml:space="preserve"> e</w:t>
      </w:r>
      <w:r>
        <w:rPr>
          <w:rFonts w:hint="default" w:ascii="Arial" w:hAnsi="Arial" w:cs="Arial"/>
          <w:sz w:val="22"/>
          <w:szCs w:val="22"/>
        </w:rPr>
        <w:t xml:space="preserve"> pela Lei 13.303/2016</w:t>
      </w:r>
      <w:r>
        <w:rPr>
          <w:rFonts w:hint="default" w:cs="Arial"/>
          <w:sz w:val="22"/>
          <w:szCs w:val="22"/>
          <w:lang w:val="pt-BR"/>
        </w:rPr>
        <w:t>.</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6"/>
        <w:spacing w:before="22"/>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auto"/>
          <w:sz w:val="22"/>
          <w:szCs w:val="22"/>
          <w:lang w:val="pt-BR"/>
        </w:rPr>
        <w:t xml:space="preserve"> </w:t>
      </w:r>
      <w:r>
        <w:rPr>
          <w:rFonts w:hint="default" w:cs="Arial"/>
          <w:color w:val="auto"/>
          <w:sz w:val="22"/>
          <w:szCs w:val="22"/>
          <w:lang w:val="pt-BR"/>
        </w:rPr>
        <w:t>8</w:t>
      </w:r>
      <w:r>
        <w:rPr>
          <w:rFonts w:hint="default" w:ascii="Arial" w:hAnsi="Arial" w:cs="Arial"/>
          <w:color w:val="auto"/>
          <w:sz w:val="22"/>
          <w:szCs w:val="22"/>
        </w:rPr>
        <w:t xml:space="preserve"> (</w:t>
      </w:r>
      <w:r>
        <w:rPr>
          <w:rFonts w:hint="default" w:cs="Arial"/>
          <w:color w:val="auto"/>
          <w:sz w:val="22"/>
          <w:szCs w:val="22"/>
          <w:lang w:val="pt-BR"/>
        </w:rPr>
        <w:t>meses</w:t>
      </w:r>
      <w:r>
        <w:rPr>
          <w:rFonts w:hint="default" w:ascii="Arial" w:hAnsi="Arial" w:cs="Arial"/>
          <w:color w:val="auto"/>
          <w:sz w:val="22"/>
          <w:szCs w:val="22"/>
        </w:rPr>
        <w:t>) meses, co</w:t>
      </w:r>
      <w:r>
        <w:rPr>
          <w:rFonts w:hint="default" w:ascii="Arial" w:hAnsi="Arial" w:cs="Arial"/>
          <w:sz w:val="22"/>
          <w:szCs w:val="22"/>
        </w:rPr>
        <w:t>ntados da data de sua assinatura.</w:t>
      </w:r>
    </w:p>
    <w:p>
      <w:pPr>
        <w:pStyle w:val="6"/>
        <w:spacing w:before="11"/>
        <w:ind w:left="418" w:leftChars="190" w:right="268" w:rightChars="122" w:firstLine="19" w:firstLineChars="9"/>
        <w:rPr>
          <w:rFonts w:hint="default" w:ascii="Arial" w:hAnsi="Arial" w:cs="Arial"/>
          <w:sz w:val="22"/>
          <w:szCs w:val="22"/>
        </w:rPr>
      </w:pPr>
    </w:p>
    <w:p>
      <w:pPr>
        <w:spacing w:before="0"/>
        <w:ind w:left="418" w:leftChars="190" w:right="268" w:rightChars="122" w:firstLine="20" w:firstLineChars="9"/>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6"/>
        <w:ind w:left="418" w:leftChars="190" w:right="268" w:rightChars="122" w:firstLine="19" w:firstLineChars="9"/>
        <w:jc w:val="both"/>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4"/>
          <w:sz w:val="22"/>
          <w:szCs w:val="22"/>
        </w:rPr>
        <w:t xml:space="preserve"> </w:t>
      </w:r>
      <w:r>
        <w:rPr>
          <w:rFonts w:hint="default" w:ascii="Arial" w:hAnsi="Arial" w:cs="Arial"/>
          <w:b/>
          <w:sz w:val="22"/>
          <w:szCs w:val="22"/>
        </w:rPr>
        <w:t>primeiro.</w:t>
      </w:r>
      <w:r>
        <w:rPr>
          <w:rFonts w:hint="default" w:ascii="Arial" w:hAnsi="Arial" w:cs="Arial"/>
          <w:b/>
          <w:spacing w:val="-12"/>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prazo</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vigência</w:t>
      </w:r>
      <w:r>
        <w:rPr>
          <w:rFonts w:hint="default" w:ascii="Arial" w:hAnsi="Arial" w:cs="Arial"/>
          <w:spacing w:val="-12"/>
          <w:sz w:val="22"/>
          <w:szCs w:val="22"/>
        </w:rPr>
        <w:t xml:space="preserve"> </w:t>
      </w:r>
      <w:r>
        <w:rPr>
          <w:rFonts w:hint="default" w:ascii="Arial" w:hAnsi="Arial" w:cs="Arial"/>
          <w:sz w:val="22"/>
          <w:szCs w:val="22"/>
        </w:rPr>
        <w:t>estabelecido</w:t>
      </w:r>
      <w:r>
        <w:rPr>
          <w:rFonts w:hint="default" w:ascii="Arial" w:hAnsi="Arial" w:cs="Arial"/>
          <w:spacing w:val="-14"/>
          <w:sz w:val="22"/>
          <w:szCs w:val="22"/>
        </w:rPr>
        <w:t xml:space="preserve"> </w:t>
      </w:r>
      <w:r>
        <w:rPr>
          <w:rFonts w:hint="default" w:ascii="Arial" w:hAnsi="Arial" w:cs="Arial"/>
          <w:sz w:val="22"/>
          <w:szCs w:val="22"/>
        </w:rPr>
        <w:t>no</w:t>
      </w:r>
      <w:r>
        <w:rPr>
          <w:rFonts w:hint="default" w:ascii="Arial" w:hAnsi="Arial" w:cs="Arial"/>
          <w:spacing w:val="-12"/>
          <w:sz w:val="22"/>
          <w:szCs w:val="22"/>
        </w:rPr>
        <w:t xml:space="preserve"> </w:t>
      </w:r>
      <w:r>
        <w:rPr>
          <w:rFonts w:hint="default" w:ascii="Arial" w:hAnsi="Arial" w:cs="Arial"/>
          <w:sz w:val="22"/>
          <w:szCs w:val="22"/>
        </w:rPr>
        <w:t>caput</w:t>
      </w:r>
      <w:r>
        <w:rPr>
          <w:rFonts w:hint="default" w:ascii="Arial" w:hAnsi="Arial" w:cs="Arial"/>
          <w:spacing w:val="-12"/>
          <w:sz w:val="22"/>
          <w:szCs w:val="22"/>
        </w:rPr>
        <w:t xml:space="preserve"> </w:t>
      </w:r>
      <w:r>
        <w:rPr>
          <w:rFonts w:hint="default" w:ascii="Arial" w:hAnsi="Arial" w:cs="Arial"/>
          <w:sz w:val="22"/>
          <w:szCs w:val="22"/>
        </w:rPr>
        <w:t>desta</w:t>
      </w:r>
      <w:r>
        <w:rPr>
          <w:rFonts w:hint="default" w:ascii="Arial" w:hAnsi="Arial" w:cs="Arial"/>
          <w:spacing w:val="-12"/>
          <w:sz w:val="22"/>
          <w:szCs w:val="22"/>
        </w:rPr>
        <w:t xml:space="preserve"> </w:t>
      </w:r>
      <w:r>
        <w:rPr>
          <w:rFonts w:hint="default" w:ascii="Arial" w:hAnsi="Arial" w:cs="Arial"/>
          <w:sz w:val="22"/>
          <w:szCs w:val="22"/>
        </w:rPr>
        <w:t>cláusula, está incluído o tempo necessário ao recebimento da obra</w:t>
      </w:r>
      <w:r>
        <w:rPr>
          <w:rFonts w:hint="default" w:cs="Arial"/>
          <w:sz w:val="22"/>
          <w:szCs w:val="22"/>
          <w:lang w:val="pt-BR"/>
        </w:rPr>
        <w:t xml:space="preserve"> </w:t>
      </w:r>
      <w:r>
        <w:rPr>
          <w:rFonts w:hint="default" w:ascii="Arial" w:hAnsi="Arial" w:cs="Arial"/>
          <w:sz w:val="22"/>
          <w:szCs w:val="22"/>
        </w:rPr>
        <w:t xml:space="preserve">e trâmites administrativos da </w:t>
      </w:r>
      <w:r>
        <w:rPr>
          <w:rFonts w:hint="default" w:ascii="Arial" w:hAnsi="Arial" w:cs="Arial"/>
          <w:sz w:val="22"/>
          <w:szCs w:val="22"/>
          <w:lang w:val="pt-BR"/>
        </w:rPr>
        <w:t>CODEN</w:t>
      </w:r>
      <w:r>
        <w:rPr>
          <w:rFonts w:hint="default" w:ascii="Arial" w:hAnsi="Arial" w:cs="Arial"/>
          <w:sz w:val="22"/>
          <w:szCs w:val="22"/>
        </w:rPr>
        <w:t xml:space="preserve"> para encerramento do</w:t>
      </w:r>
      <w:r>
        <w:rPr>
          <w:rFonts w:hint="default" w:ascii="Arial" w:hAnsi="Arial" w:cs="Arial"/>
          <w:spacing w:val="-12"/>
          <w:sz w:val="22"/>
          <w:szCs w:val="22"/>
        </w:rPr>
        <w:t xml:space="preserve"> </w:t>
      </w:r>
      <w:r>
        <w:rPr>
          <w:rFonts w:hint="default" w:ascii="Arial" w:hAnsi="Arial" w:cs="Arial"/>
          <w:sz w:val="22"/>
          <w:szCs w:val="22"/>
        </w:rPr>
        <w:t>contrato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color w:val="auto"/>
          <w:sz w:val="22"/>
          <w:szCs w:val="22"/>
        </w:rPr>
      </w:pPr>
      <w:r>
        <w:rPr>
          <w:rFonts w:hint="default" w:ascii="Arial" w:hAnsi="Arial" w:cs="Arial"/>
          <w:color w:val="auto"/>
          <w:sz w:val="22"/>
          <w:szCs w:val="22"/>
        </w:rPr>
        <w:t>DO PRAZO DE</w:t>
      </w:r>
      <w:r>
        <w:rPr>
          <w:rFonts w:hint="default" w:ascii="Arial" w:hAnsi="Arial" w:cs="Arial"/>
          <w:color w:val="auto"/>
          <w:spacing w:val="-1"/>
          <w:sz w:val="22"/>
          <w:szCs w:val="22"/>
        </w:rPr>
        <w:t xml:space="preserve"> </w:t>
      </w:r>
      <w:r>
        <w:rPr>
          <w:rFonts w:hint="default" w:ascii="Arial" w:hAnsi="Arial" w:cs="Arial"/>
          <w:color w:val="auto"/>
          <w:sz w:val="22"/>
          <w:szCs w:val="22"/>
        </w:rPr>
        <w:t>EXECUÇÃO</w:t>
      </w:r>
    </w:p>
    <w:p>
      <w:pPr>
        <w:pStyle w:val="6"/>
        <w:spacing w:before="22"/>
        <w:ind w:left="418" w:leftChars="190" w:right="268" w:rightChars="122" w:firstLine="19" w:firstLineChars="9"/>
        <w:jc w:val="both"/>
        <w:rPr>
          <w:rFonts w:hint="default" w:ascii="Arial" w:hAnsi="Arial" w:cs="Arial"/>
          <w:color w:val="auto"/>
          <w:sz w:val="22"/>
          <w:szCs w:val="22"/>
          <w:lang w:val="pt-BR"/>
        </w:rPr>
      </w:pPr>
      <w:r>
        <w:rPr>
          <w:rFonts w:hint="default" w:ascii="Arial" w:hAnsi="Arial" w:cs="Arial"/>
          <w:color w:val="auto"/>
          <w:sz w:val="22"/>
          <w:szCs w:val="22"/>
        </w:rPr>
        <w:t>O</w:t>
      </w:r>
      <w:r>
        <w:rPr>
          <w:rFonts w:hint="default" w:ascii="Arial" w:hAnsi="Arial" w:cs="Arial"/>
          <w:color w:val="auto"/>
          <w:spacing w:val="-6"/>
          <w:sz w:val="22"/>
          <w:szCs w:val="22"/>
        </w:rPr>
        <w:t xml:space="preserve"> </w:t>
      </w:r>
      <w:r>
        <w:rPr>
          <w:rFonts w:hint="default" w:ascii="Arial" w:hAnsi="Arial" w:cs="Arial"/>
          <w:color w:val="auto"/>
          <w:sz w:val="22"/>
          <w:szCs w:val="22"/>
        </w:rPr>
        <w:t>prazo</w:t>
      </w:r>
      <w:r>
        <w:rPr>
          <w:rFonts w:hint="default" w:ascii="Arial" w:hAnsi="Arial" w:cs="Arial"/>
          <w:color w:val="auto"/>
          <w:spacing w:val="-5"/>
          <w:sz w:val="22"/>
          <w:szCs w:val="22"/>
        </w:rPr>
        <w:t xml:space="preserve"> </w:t>
      </w:r>
      <w:r>
        <w:rPr>
          <w:rFonts w:hint="default" w:ascii="Arial" w:hAnsi="Arial" w:cs="Arial"/>
          <w:color w:val="auto"/>
          <w:sz w:val="22"/>
          <w:szCs w:val="22"/>
        </w:rPr>
        <w:t>de</w:t>
      </w:r>
      <w:r>
        <w:rPr>
          <w:rFonts w:hint="default" w:ascii="Arial" w:hAnsi="Arial" w:cs="Arial"/>
          <w:color w:val="auto"/>
          <w:spacing w:val="-6"/>
          <w:sz w:val="22"/>
          <w:szCs w:val="22"/>
        </w:rPr>
        <w:t xml:space="preserve"> </w:t>
      </w:r>
      <w:r>
        <w:rPr>
          <w:rFonts w:hint="default" w:ascii="Arial" w:hAnsi="Arial" w:cs="Arial"/>
          <w:color w:val="auto"/>
          <w:sz w:val="22"/>
          <w:szCs w:val="22"/>
        </w:rPr>
        <w:t>execução</w:t>
      </w:r>
      <w:r>
        <w:rPr>
          <w:rFonts w:hint="default" w:ascii="Arial" w:hAnsi="Arial" w:cs="Arial"/>
          <w:color w:val="auto"/>
          <w:spacing w:val="-7"/>
          <w:sz w:val="22"/>
          <w:szCs w:val="22"/>
        </w:rPr>
        <w:t xml:space="preserve"> </w:t>
      </w:r>
      <w:r>
        <w:rPr>
          <w:rFonts w:hint="default" w:ascii="Arial" w:hAnsi="Arial" w:cs="Arial"/>
          <w:color w:val="auto"/>
          <w:sz w:val="22"/>
          <w:szCs w:val="22"/>
        </w:rPr>
        <w:t>do</w:t>
      </w:r>
      <w:r>
        <w:rPr>
          <w:rFonts w:hint="default" w:ascii="Arial" w:hAnsi="Arial" w:cs="Arial"/>
          <w:color w:val="auto"/>
          <w:spacing w:val="-5"/>
          <w:sz w:val="22"/>
          <w:szCs w:val="22"/>
        </w:rPr>
        <w:t xml:space="preserve"> </w:t>
      </w:r>
      <w:r>
        <w:rPr>
          <w:rFonts w:hint="default" w:ascii="Arial" w:hAnsi="Arial" w:cs="Arial"/>
          <w:color w:val="auto"/>
          <w:sz w:val="22"/>
          <w:szCs w:val="22"/>
        </w:rPr>
        <w:t>objeto</w:t>
      </w:r>
      <w:r>
        <w:rPr>
          <w:rFonts w:hint="default" w:ascii="Arial" w:hAnsi="Arial" w:cs="Arial"/>
          <w:color w:val="auto"/>
          <w:spacing w:val="-2"/>
          <w:sz w:val="22"/>
          <w:szCs w:val="22"/>
        </w:rPr>
        <w:t xml:space="preserve"> </w:t>
      </w:r>
      <w:r>
        <w:rPr>
          <w:rFonts w:hint="default" w:ascii="Arial" w:hAnsi="Arial" w:cs="Arial"/>
          <w:color w:val="auto"/>
          <w:sz w:val="22"/>
          <w:szCs w:val="22"/>
        </w:rPr>
        <w:t>contratado</w:t>
      </w:r>
      <w:r>
        <w:rPr>
          <w:rFonts w:hint="default" w:ascii="Arial" w:hAnsi="Arial" w:cs="Arial"/>
          <w:color w:val="auto"/>
          <w:spacing w:val="-5"/>
          <w:sz w:val="22"/>
          <w:szCs w:val="22"/>
        </w:rPr>
        <w:t xml:space="preserve"> </w:t>
      </w:r>
      <w:r>
        <w:rPr>
          <w:rFonts w:hint="default" w:ascii="Arial" w:hAnsi="Arial" w:cs="Arial"/>
          <w:color w:val="auto"/>
          <w:sz w:val="22"/>
          <w:szCs w:val="22"/>
        </w:rPr>
        <w:t>é</w:t>
      </w:r>
      <w:r>
        <w:rPr>
          <w:rFonts w:hint="default" w:ascii="Arial" w:hAnsi="Arial" w:cs="Arial"/>
          <w:color w:val="auto"/>
          <w:spacing w:val="-7"/>
          <w:sz w:val="22"/>
          <w:szCs w:val="22"/>
        </w:rPr>
        <w:t xml:space="preserve"> </w:t>
      </w:r>
      <w:r>
        <w:rPr>
          <w:rFonts w:hint="default" w:ascii="Arial" w:hAnsi="Arial" w:cs="Arial"/>
          <w:color w:val="auto"/>
          <w:sz w:val="22"/>
          <w:szCs w:val="22"/>
        </w:rPr>
        <w:t>de</w:t>
      </w:r>
      <w:r>
        <w:rPr>
          <w:rFonts w:hint="default" w:ascii="Arial" w:hAnsi="Arial" w:cs="Arial"/>
          <w:color w:val="auto"/>
          <w:spacing w:val="-4"/>
          <w:sz w:val="22"/>
          <w:szCs w:val="22"/>
        </w:rPr>
        <w:t xml:space="preserve"> </w:t>
      </w:r>
      <w:r>
        <w:rPr>
          <w:rFonts w:hint="default" w:cs="Arial"/>
          <w:color w:val="auto"/>
          <w:sz w:val="22"/>
          <w:szCs w:val="22"/>
          <w:lang w:val="pt-BR"/>
        </w:rPr>
        <w:t>6</w:t>
      </w:r>
      <w:r>
        <w:rPr>
          <w:rFonts w:hint="default" w:ascii="Arial" w:hAnsi="Arial" w:cs="Arial"/>
          <w:color w:val="auto"/>
          <w:sz w:val="22"/>
          <w:szCs w:val="22"/>
          <w:lang w:val="pt-BR"/>
        </w:rPr>
        <w:t xml:space="preserve"> </w:t>
      </w:r>
      <w:r>
        <w:rPr>
          <w:rFonts w:hint="default" w:ascii="Arial" w:hAnsi="Arial" w:cs="Arial"/>
          <w:color w:val="auto"/>
          <w:sz w:val="22"/>
          <w:szCs w:val="22"/>
        </w:rPr>
        <w:t>(</w:t>
      </w:r>
      <w:r>
        <w:rPr>
          <w:rFonts w:hint="default" w:cs="Arial"/>
          <w:color w:val="auto"/>
          <w:sz w:val="22"/>
          <w:szCs w:val="22"/>
          <w:lang w:val="pt-BR"/>
        </w:rPr>
        <w:t>seis</w:t>
      </w:r>
      <w:r>
        <w:rPr>
          <w:rFonts w:hint="default" w:ascii="Arial" w:hAnsi="Arial" w:cs="Arial"/>
          <w:color w:val="auto"/>
          <w:sz w:val="22"/>
          <w:szCs w:val="22"/>
        </w:rPr>
        <w:t>)</w:t>
      </w:r>
      <w:r>
        <w:rPr>
          <w:rFonts w:hint="default" w:ascii="Arial" w:hAnsi="Arial" w:cs="Arial"/>
          <w:color w:val="auto"/>
          <w:spacing w:val="-6"/>
          <w:sz w:val="22"/>
          <w:szCs w:val="22"/>
        </w:rPr>
        <w:t xml:space="preserve"> </w:t>
      </w:r>
      <w:r>
        <w:rPr>
          <w:rFonts w:hint="default" w:ascii="Arial" w:hAnsi="Arial" w:cs="Arial"/>
          <w:color w:val="auto"/>
          <w:sz w:val="22"/>
          <w:szCs w:val="22"/>
        </w:rPr>
        <w:t>meses,</w:t>
      </w:r>
      <w:r>
        <w:rPr>
          <w:rFonts w:hint="default" w:ascii="Arial" w:hAnsi="Arial" w:cs="Arial"/>
          <w:color w:val="auto"/>
          <w:spacing w:val="-9"/>
          <w:sz w:val="22"/>
          <w:szCs w:val="22"/>
        </w:rPr>
        <w:t xml:space="preserve"> </w:t>
      </w:r>
      <w:r>
        <w:rPr>
          <w:rFonts w:hint="default" w:ascii="Arial" w:hAnsi="Arial" w:cs="Arial"/>
          <w:color w:val="auto"/>
          <w:sz w:val="22"/>
          <w:szCs w:val="22"/>
        </w:rPr>
        <w:t>contados</w:t>
      </w:r>
      <w:r>
        <w:rPr>
          <w:rFonts w:hint="default" w:ascii="Arial" w:hAnsi="Arial" w:cs="Arial"/>
          <w:color w:val="auto"/>
          <w:spacing w:val="-3"/>
          <w:sz w:val="22"/>
          <w:szCs w:val="22"/>
        </w:rPr>
        <w:t xml:space="preserve"> </w:t>
      </w:r>
      <w:r>
        <w:rPr>
          <w:rFonts w:hint="default" w:ascii="Arial" w:hAnsi="Arial" w:cs="Arial"/>
          <w:color w:val="auto"/>
          <w:sz w:val="22"/>
          <w:szCs w:val="22"/>
        </w:rPr>
        <w:t xml:space="preserve">da data da </w:t>
      </w:r>
      <w:r>
        <w:rPr>
          <w:rFonts w:hint="default" w:cs="Arial"/>
          <w:color w:val="auto"/>
          <w:sz w:val="22"/>
          <w:szCs w:val="22"/>
          <w:lang w:val="pt-BR"/>
        </w:rPr>
        <w:t>emissão da ordem de serviço</w:t>
      </w:r>
      <w:r>
        <w:rPr>
          <w:rFonts w:hint="default" w:ascii="Arial" w:hAnsi="Arial" w:cs="Arial"/>
          <w:color w:val="auto"/>
          <w:sz w:val="22"/>
          <w:szCs w:val="22"/>
        </w:rPr>
        <w:t>, obedecido o cronograma</w:t>
      </w:r>
      <w:r>
        <w:rPr>
          <w:rFonts w:hint="default" w:ascii="Arial" w:hAnsi="Arial" w:cs="Arial"/>
          <w:color w:val="auto"/>
          <w:spacing w:val="-15"/>
          <w:sz w:val="22"/>
          <w:szCs w:val="22"/>
        </w:rPr>
        <w:t xml:space="preserve"> </w:t>
      </w:r>
      <w:r>
        <w:rPr>
          <w:rFonts w:hint="default" w:cs="Arial"/>
          <w:color w:val="auto"/>
          <w:sz w:val="22"/>
          <w:szCs w:val="22"/>
          <w:lang w:val="pt-BR"/>
        </w:rPr>
        <w:t>de atividades.</w:t>
      </w:r>
    </w:p>
    <w:p>
      <w:pPr>
        <w:pStyle w:val="6"/>
        <w:ind w:left="418" w:leftChars="190" w:right="268" w:rightChars="122" w:firstLine="19" w:firstLineChars="9"/>
        <w:rPr>
          <w:rFonts w:hint="default" w:ascii="Arial" w:hAnsi="Arial" w:cs="Arial"/>
          <w:color w:val="FF0000"/>
          <w:sz w:val="22"/>
          <w:szCs w:val="22"/>
        </w:rPr>
      </w:pPr>
    </w:p>
    <w:p>
      <w:pPr>
        <w:pStyle w:val="6"/>
        <w:spacing w:before="1"/>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único</w:t>
      </w:r>
      <w:r>
        <w:rPr>
          <w:rFonts w:hint="default" w:ascii="Arial" w:hAnsi="Arial" w:cs="Arial"/>
          <w:color w:val="000000" w:themeColor="text1"/>
          <w:sz w:val="22"/>
          <w:szCs w:val="22"/>
          <w14:textFill>
            <w14:solidFill>
              <w14:schemeClr w14:val="tx1"/>
            </w14:solidFill>
          </w14:textFill>
        </w:rPr>
        <w:t>. Em caso de prorrogação do prazo de execução, o prazo acrescido refletirá, na mesma medida, no prazo de vigência do contrato.</w:t>
      </w:r>
    </w:p>
    <w:p>
      <w:pPr>
        <w:pStyle w:val="6"/>
        <w:spacing w:before="11"/>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 PREÇO</w:t>
      </w:r>
    </w:p>
    <w:p>
      <w:pPr>
        <w:pStyle w:val="6"/>
        <w:tabs>
          <w:tab w:val="left" w:pos="4695"/>
        </w:tabs>
        <w:ind w:left="418" w:leftChars="190" w:right="268" w:rightChars="122" w:firstLine="19" w:firstLineChars="9"/>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6"/>
        <w:ind w:left="418" w:leftChars="190" w:right="268" w:rightChars="122" w:firstLine="19" w:firstLineChars="9"/>
        <w:rPr>
          <w:rFonts w:hint="default" w:ascii="Arial" w:hAnsi="Arial" w:cs="Arial"/>
          <w:sz w:val="22"/>
          <w:szCs w:val="22"/>
        </w:rPr>
      </w:pPr>
    </w:p>
    <w:p>
      <w:pPr>
        <w:pStyle w:val="6"/>
        <w:spacing w:before="1"/>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Na ocorrência de modificação na legislação pertinente a quaisquer dos tributos incidentes, inclusive que determine a criação ou a extinção, ou mesmo o aumento ou diminuição das alíquotas e bases de cálculo vigentes, posteriormente à data de assinatura deste Contrato, os preços previstos nos itens contratados sofrerão exclusivamente as alterações correspondentes às respectivas incidências, na exata proporção em que tais modificações possam aumentar ou diminuir os preços inicialmente estabelecidos.</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6"/>
        <w:ind w:left="418" w:leftChars="190" w:right="268" w:rightChars="122" w:firstLine="19" w:firstLineChars="9"/>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As medições serão pagas mensalmente, 7 dias a contar a data da emissão da nota, por volume executado e após aprovação do conteúdo pela equipe técnica da CODEN, e a última medição referente à 50% (cinquenta) do contrato, fica condicionado a aprovação do Plano de Segurança de Barragem – PSB junto ao DAEE, inclusive realizando as alterações solicitadas, conforme cronograma anexo.</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cs="Arial"/>
          <w:b/>
          <w:spacing w:val="-18"/>
          <w:sz w:val="22"/>
          <w:szCs w:val="22"/>
          <w:lang w:val="pt-BR"/>
        </w:rPr>
        <w:t>Primeiro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b/>
          <w:sz w:val="22"/>
          <w:szCs w:val="22"/>
        </w:rPr>
        <w:t>.</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Terceiro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6"/>
        <w:ind w:left="418" w:leftChars="190" w:right="268" w:rightChars="122" w:firstLine="19" w:firstLineChars="9"/>
        <w:jc w:val="both"/>
        <w:rPr>
          <w:rFonts w:hint="default" w:ascii="Arial" w:hAnsi="Arial" w:cs="Arial"/>
          <w:sz w:val="22"/>
          <w:szCs w:val="22"/>
          <w:lang w:val="pt-BR"/>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w:t>
      </w:r>
      <w:r>
        <w:rPr>
          <w:rFonts w:hint="default" w:cs="Arial"/>
          <w:sz w:val="22"/>
          <w:szCs w:val="22"/>
          <w:lang w:val="pt-BR"/>
        </w:rPr>
        <w:t xml:space="preserve"> eletrônica</w:t>
      </w:r>
      <w:r>
        <w:rPr>
          <w:rFonts w:hint="default" w:ascii="Arial" w:hAnsi="Arial" w:cs="Arial"/>
          <w:sz w:val="22"/>
          <w:szCs w:val="22"/>
        </w:rPr>
        <w:t>) o percentual e o valor do(s) tributo(s) a ser(em) retido(s).</w:t>
      </w:r>
    </w:p>
    <w:p>
      <w:pPr>
        <w:pStyle w:val="6"/>
        <w:spacing w:before="1"/>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Quinto</w:t>
      </w:r>
      <w:r>
        <w:rPr>
          <w:rFonts w:hint="default" w:ascii="Arial" w:hAnsi="Arial" w:cs="Arial"/>
          <w:b/>
          <w:sz w:val="22"/>
          <w:szCs w:val="22"/>
        </w:rPr>
        <w:t xml:space="preserve">. </w:t>
      </w:r>
      <w:r>
        <w:rPr>
          <w:rFonts w:hint="default" w:ascii="Arial" w:hAnsi="Arial" w:cs="Arial"/>
          <w:sz w:val="22"/>
          <w:szCs w:val="22"/>
        </w:rPr>
        <w:t xml:space="preserve">Ocorrendo a antecipação do cronograma de execução </w:t>
      </w:r>
      <w:r>
        <w:rPr>
          <w:rFonts w:hint="default" w:cs="Arial"/>
          <w:sz w:val="22"/>
          <w:szCs w:val="22"/>
          <w:lang w:val="pt-BR"/>
        </w:rPr>
        <w:t>dos</w:t>
      </w:r>
      <w:r>
        <w:rPr>
          <w:rFonts w:hint="default" w:ascii="Arial" w:hAnsi="Arial" w:cs="Arial"/>
          <w:sz w:val="22"/>
          <w:szCs w:val="22"/>
        </w:rPr>
        <w:t xml:space="preserve"> serviços a CONTRATADA fará jus à sua medição e ao devido pagamento nas mesmas condições já estabelecidas neste Edital, com prévia e expressa autorização da </w:t>
      </w:r>
      <w:r>
        <w:rPr>
          <w:rFonts w:hint="default" w:ascii="Arial" w:hAnsi="Arial" w:cs="Arial"/>
          <w:sz w:val="22"/>
          <w:szCs w:val="22"/>
          <w:lang w:val="pt-BR"/>
        </w:rPr>
        <w:t>CODEN.</w:t>
      </w:r>
    </w:p>
    <w:p>
      <w:pPr>
        <w:pStyle w:val="6"/>
        <w:keepNext w:val="0"/>
        <w:keepLines w:val="0"/>
        <w:pageBreakBefore w:val="0"/>
        <w:widowControl w:val="0"/>
        <w:kinsoku/>
        <w:wordWrap/>
        <w:overflowPunct/>
        <w:topLinePunct w:val="0"/>
        <w:autoSpaceDE w:val="0"/>
        <w:autoSpaceDN w:val="0"/>
        <w:bidi w:val="0"/>
        <w:adjustRightInd/>
        <w:snapToGrid/>
        <w:ind w:left="418" w:leftChars="190" w:right="268" w:rightChars="122" w:firstLine="19" w:firstLineChars="9"/>
        <w:jc w:val="both"/>
        <w:textAlignment w:val="auto"/>
        <w:rPr>
          <w:rFonts w:hint="default" w:ascii="Arial" w:hAnsi="Arial" w:cs="Arial"/>
          <w:sz w:val="22"/>
          <w:szCs w:val="22"/>
          <w:lang w:val="pt-BR"/>
        </w:rPr>
      </w:pPr>
    </w:p>
    <w:p>
      <w:pPr>
        <w:pStyle w:val="6"/>
        <w:keepNext w:val="0"/>
        <w:keepLines w:val="0"/>
        <w:pageBreakBefore w:val="0"/>
        <w:widowControl w:val="0"/>
        <w:kinsoku/>
        <w:wordWrap/>
        <w:overflowPunct/>
        <w:topLinePunct w:val="0"/>
        <w:autoSpaceDE w:val="0"/>
        <w:autoSpaceDN w:val="0"/>
        <w:bidi w:val="0"/>
        <w:adjustRightInd/>
        <w:snapToGrid/>
        <w:ind w:left="418" w:leftChars="190" w:right="268" w:rightChars="122" w:firstLine="20" w:firstLineChars="9"/>
        <w:jc w:val="both"/>
        <w:textAlignment w:val="auto"/>
        <w:rPr>
          <w:rFonts w:hint="default" w:ascii="Arial" w:hAnsi="Arial" w:cs="Arial"/>
          <w:b w:val="0"/>
          <w:bCs/>
          <w:sz w:val="22"/>
          <w:szCs w:val="22"/>
          <w:lang w:val="pt-BR"/>
        </w:rPr>
      </w:pPr>
      <w:r>
        <w:rPr>
          <w:rFonts w:hint="default" w:ascii="Arial" w:hAnsi="Arial" w:cs="Arial"/>
          <w:b/>
          <w:sz w:val="22"/>
          <w:szCs w:val="22"/>
        </w:rPr>
        <w:t xml:space="preserve">Parágrafo </w:t>
      </w:r>
      <w:r>
        <w:rPr>
          <w:rFonts w:hint="default" w:cs="Arial"/>
          <w:b/>
          <w:sz w:val="22"/>
          <w:szCs w:val="22"/>
          <w:lang w:val="pt-BR"/>
        </w:rPr>
        <w:t>Sexto</w:t>
      </w:r>
      <w:r>
        <w:rPr>
          <w:rFonts w:hint="default" w:ascii="Arial" w:hAnsi="Arial" w:cs="Arial"/>
          <w:b/>
          <w:sz w:val="22"/>
          <w:szCs w:val="22"/>
        </w:rPr>
        <w:t>.</w:t>
      </w:r>
      <w:r>
        <w:rPr>
          <w:rFonts w:hint="default" w:cs="Arial"/>
          <w:b/>
          <w:sz w:val="22"/>
          <w:szCs w:val="22"/>
          <w:lang w:val="pt-BR"/>
        </w:rPr>
        <w:t xml:space="preserve"> </w:t>
      </w:r>
      <w:r>
        <w:rPr>
          <w:rFonts w:hint="default" w:ascii="Arial" w:hAnsi="Arial" w:cs="Arial"/>
          <w:b/>
          <w:sz w:val="22"/>
          <w:szCs w:val="22"/>
          <w:lang w:val="pt-BR"/>
        </w:rPr>
        <w:t xml:space="preserve"> </w:t>
      </w:r>
      <w:r>
        <w:rPr>
          <w:rFonts w:hint="default" w:ascii="Arial" w:hAnsi="Arial" w:cs="Arial"/>
          <w:b w:val="0"/>
          <w:bCs/>
          <w:sz w:val="22"/>
          <w:szCs w:val="22"/>
          <w:lang w:val="pt-BR"/>
        </w:rPr>
        <w:t>Em caso de atraso no pagamento, por parte da Administração, por prazo superior a 30 (trinta) dias, incidirá correção monetária, nos termos da legislação vigente.</w:t>
      </w:r>
    </w:p>
    <w:p>
      <w:pPr>
        <w:pStyle w:val="6"/>
        <w:ind w:left="418" w:leftChars="190" w:right="268" w:rightChars="122" w:firstLine="19" w:firstLineChars="9"/>
        <w:jc w:val="both"/>
        <w:rPr>
          <w:rFonts w:hint="default" w:ascii="Arial" w:hAnsi="Arial" w:cs="Arial"/>
          <w:b w:val="0"/>
          <w:bCs/>
          <w:sz w:val="22"/>
          <w:szCs w:val="22"/>
          <w:lang w:val="pt-BR"/>
        </w:rPr>
      </w:pPr>
    </w:p>
    <w:p>
      <w:pPr>
        <w:pStyle w:val="6"/>
        <w:keepNext w:val="0"/>
        <w:keepLines w:val="0"/>
        <w:pageBreakBefore w:val="0"/>
        <w:widowControl w:val="0"/>
        <w:kinsoku/>
        <w:wordWrap/>
        <w:overflowPunct/>
        <w:topLinePunct w:val="0"/>
        <w:autoSpaceDE w:val="0"/>
        <w:autoSpaceDN w:val="0"/>
        <w:bidi w:val="0"/>
        <w:adjustRightInd/>
        <w:snapToGrid/>
        <w:ind w:left="418" w:leftChars="190" w:right="268" w:rightChars="122" w:firstLine="20" w:firstLineChars="9"/>
        <w:jc w:val="both"/>
        <w:textAlignment w:val="auto"/>
        <w:rPr>
          <w:rFonts w:ascii="Arial" w:hAnsi="Arial" w:cs="Arial"/>
          <w:b w:val="0"/>
          <w:sz w:val="23"/>
        </w:rPr>
      </w:pPr>
      <w:r>
        <w:rPr>
          <w:rFonts w:hint="default" w:ascii="Arial" w:hAnsi="Arial" w:cs="Arial"/>
          <w:b/>
          <w:sz w:val="22"/>
          <w:szCs w:val="22"/>
        </w:rPr>
        <w:t xml:space="preserve">Parágrafo </w:t>
      </w:r>
      <w:r>
        <w:rPr>
          <w:rFonts w:hint="default" w:cs="Arial"/>
          <w:b/>
          <w:sz w:val="22"/>
          <w:szCs w:val="22"/>
          <w:lang w:val="pt-BR"/>
        </w:rPr>
        <w:t>Sétimo</w:t>
      </w:r>
      <w:r>
        <w:rPr>
          <w:rFonts w:hint="default" w:ascii="Arial" w:hAnsi="Arial" w:cs="Arial"/>
          <w:b/>
          <w:sz w:val="22"/>
          <w:szCs w:val="22"/>
        </w:rPr>
        <w:t>.</w:t>
      </w:r>
      <w:r>
        <w:rPr>
          <w:rFonts w:hint="default" w:cs="Arial"/>
          <w:b/>
          <w:sz w:val="22"/>
          <w:szCs w:val="22"/>
          <w:lang w:val="pt-BR"/>
        </w:rPr>
        <w:t xml:space="preserve"> </w:t>
      </w:r>
      <w:r>
        <w:rPr>
          <w:rFonts w:ascii="Arial" w:hAnsi="Arial" w:cs="Arial"/>
          <w:b w:val="0"/>
          <w:sz w:val="23"/>
        </w:rPr>
        <w:t>As despesas decorrentes da referida contratação correrão às contas dos recursos próprios da CODEN.</w:t>
      </w:r>
    </w:p>
    <w:p>
      <w:pPr>
        <w:pStyle w:val="6"/>
        <w:ind w:left="418" w:leftChars="190" w:right="268" w:rightChars="122" w:firstLine="19" w:firstLineChars="9"/>
        <w:jc w:val="both"/>
        <w:rPr>
          <w:rFonts w:hint="default" w:ascii="Arial" w:hAnsi="Arial" w:cs="Arial"/>
          <w:sz w:val="22"/>
          <w:szCs w:val="22"/>
          <w:lang w:val="pt-BR"/>
        </w:rPr>
      </w:pPr>
    </w:p>
    <w:p>
      <w:pPr>
        <w:pStyle w:val="2"/>
        <w:numPr>
          <w:ilvl w:val="0"/>
          <w:numId w:val="37"/>
        </w:numPr>
        <w:tabs>
          <w:tab w:val="left" w:pos="1100"/>
        </w:tabs>
        <w:spacing w:before="0" w:after="0" w:line="240" w:lineRule="auto"/>
        <w:ind w:left="418" w:leftChars="190" w:right="268" w:rightChars="122" w:firstLine="20" w:firstLineChars="9"/>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6"/>
        <w:ind w:left="418" w:leftChars="190" w:right="268" w:rightChars="122" w:firstLine="19" w:firstLineChars="9"/>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 xml:space="preserve">Os preços ora contratados </w:t>
      </w:r>
      <w:r>
        <w:rPr>
          <w:rFonts w:hint="default" w:cs="Arial"/>
          <w:sz w:val="22"/>
          <w:szCs w:val="22"/>
          <w:lang w:val="pt-BR"/>
        </w:rPr>
        <w:t>não serão</w:t>
      </w:r>
      <w:r>
        <w:rPr>
          <w:rFonts w:hint="default" w:ascii="Arial" w:hAnsi="Arial" w:cs="Arial"/>
          <w:sz w:val="22"/>
          <w:szCs w:val="22"/>
        </w:rPr>
        <w:t xml:space="preserve"> reajustados</w:t>
      </w:r>
      <w:r>
        <w:rPr>
          <w:rFonts w:hint="default" w:cs="Arial"/>
          <w:sz w:val="22"/>
          <w:szCs w:val="22"/>
          <w:lang w:val="pt-BR"/>
        </w:rPr>
        <w:t xml:space="preserve">. </w:t>
      </w:r>
      <w:r>
        <w:rPr>
          <w:rFonts w:hint="default" w:ascii="Arial" w:hAnsi="Arial" w:cs="Arial"/>
          <w:sz w:val="22"/>
          <w:szCs w:val="22"/>
        </w:rPr>
        <w:t xml:space="preserve"> </w:t>
      </w:r>
    </w:p>
    <w:p>
      <w:pPr>
        <w:pStyle w:val="6"/>
        <w:spacing w:before="6"/>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DA GARANTIA</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19"/>
        <w:numPr>
          <w:ilvl w:val="0"/>
          <w:numId w:val="38"/>
        </w:numPr>
        <w:tabs>
          <w:tab w:val="left" w:pos="1441"/>
          <w:tab w:val="left" w:pos="1442"/>
        </w:tabs>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prazo</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até</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10</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(dez)</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dias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úteis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contados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assinatura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 Contrato, prestará garantia de execução contratual, no valor de </w:t>
      </w:r>
      <w:r>
        <w:rPr>
          <w:rFonts w:hint="default" w:ascii="Arial" w:hAnsi="Arial" w:cs="Arial"/>
          <w:color w:val="000000" w:themeColor="text1"/>
          <w:sz w:val="22"/>
          <w:szCs w:val="22"/>
          <w:lang w:val="pt-BR"/>
          <w14:textFill>
            <w14:solidFill>
              <w14:schemeClr w14:val="tx1"/>
            </w14:solidFill>
          </w14:textFill>
        </w:rPr>
        <w:t>5</w:t>
      </w:r>
      <w:r>
        <w:rPr>
          <w:rFonts w:hint="default" w:ascii="Arial" w:hAnsi="Arial" w:cs="Arial"/>
          <w:color w:val="000000" w:themeColor="text1"/>
          <w:sz w:val="22"/>
          <w:szCs w:val="22"/>
          <w14:textFill>
            <w14:solidFill>
              <w14:schemeClr w14:val="tx1"/>
            </w14:solidFill>
          </w14:textFill>
        </w:rPr>
        <w:t>% (</w:t>
      </w:r>
      <w:r>
        <w:rPr>
          <w:rFonts w:hint="default" w:ascii="Arial" w:hAnsi="Arial" w:cs="Arial"/>
          <w:color w:val="000000" w:themeColor="text1"/>
          <w:sz w:val="22"/>
          <w:szCs w:val="22"/>
          <w:lang w:val="pt-BR"/>
          <w14:textFill>
            <w14:solidFill>
              <w14:schemeClr w14:val="tx1"/>
            </w14:solidFill>
          </w14:textFill>
        </w:rPr>
        <w:t>cinco</w:t>
      </w:r>
      <w:r>
        <w:rPr>
          <w:rFonts w:hint="default" w:ascii="Arial" w:hAnsi="Arial" w:cs="Arial"/>
          <w:color w:val="000000" w:themeColor="text1"/>
          <w:sz w:val="22"/>
          <w:szCs w:val="22"/>
          <w14:textFill>
            <w14:solidFill>
              <w14:schemeClr w14:val="tx1"/>
            </w14:solidFill>
          </w14:textFill>
        </w:rPr>
        <w:t xml:space="preserve"> por cento)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do</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valor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global</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contratação,</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modalidade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vier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optar,</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dentre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 adiante relacionadas:</w:t>
      </w:r>
      <w:r>
        <w:rPr>
          <w:rFonts w:hint="default" w:cs="Arial"/>
          <w:color w:val="000000" w:themeColor="text1"/>
          <w:sz w:val="22"/>
          <w:szCs w:val="22"/>
          <w:lang w:val="pt-BR"/>
          <w14:textFill>
            <w14:solidFill>
              <w14:schemeClr w14:val="tx1"/>
            </w14:solidFill>
          </w14:textFill>
        </w:rPr>
        <w:t xml:space="preserve"> </w:t>
      </w:r>
    </w:p>
    <w:p>
      <w:pPr>
        <w:pStyle w:val="19"/>
        <w:numPr>
          <w:ilvl w:val="0"/>
          <w:numId w:val="38"/>
        </w:numPr>
        <w:tabs>
          <w:tab w:val="left" w:pos="1441"/>
          <w:tab w:val="left" w:pos="1442"/>
        </w:tabs>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Caução em dinheiro: deverá ser depositada em favor da</w:t>
      </w:r>
      <w:r>
        <w:rPr>
          <w:rFonts w:hint="default" w:ascii="Arial" w:hAnsi="Arial" w:cs="Arial"/>
          <w:color w:val="000000" w:themeColor="text1"/>
          <w:sz w:val="22"/>
          <w:szCs w:val="22"/>
          <w:lang w:val="pt-BR"/>
          <w14:textFill>
            <w14:solidFill>
              <w14:schemeClr w14:val="tx1"/>
            </w14:solidFill>
          </w14:textFill>
        </w:rPr>
        <w:t xml:space="preserve"> CODEN</w:t>
      </w:r>
      <w:r>
        <w:rPr>
          <w:rFonts w:hint="default" w:ascii="Arial" w:hAnsi="Arial" w:cs="Arial"/>
          <w:color w:val="000000" w:themeColor="text1"/>
          <w:sz w:val="22"/>
          <w:szCs w:val="22"/>
          <w14:textFill>
            <w14:solidFill>
              <w14:schemeClr w14:val="tx1"/>
            </w14:solidFill>
          </w14:textFill>
        </w:rPr>
        <w:t>, de acordo com as orientações que serão fornecidas pelo gestor do</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p>
    <w:p>
      <w:pPr>
        <w:pStyle w:val="19"/>
        <w:numPr>
          <w:ilvl w:val="0"/>
          <w:numId w:val="38"/>
        </w:numPr>
        <w:tabs>
          <w:tab w:val="left" w:pos="1442"/>
        </w:tabs>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Seguro Garantia: a Apólice de Seguro deverá ser emitida por Instituição autorizada pela SUSEP a operar no mercado</w:t>
      </w:r>
      <w:r>
        <w:rPr>
          <w:rFonts w:hint="default" w:ascii="Arial" w:hAnsi="Arial" w:cs="Arial"/>
          <w:color w:val="000000" w:themeColor="text1"/>
          <w:spacing w:val="-1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securitário.</w:t>
      </w:r>
    </w:p>
    <w:p>
      <w:pPr>
        <w:pStyle w:val="19"/>
        <w:numPr>
          <w:ilvl w:val="0"/>
          <w:numId w:val="38"/>
        </w:numPr>
        <w:tabs>
          <w:tab w:val="left" w:pos="1442"/>
        </w:tabs>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Fiança Bancária: a Carta de Fiança deverá ser emitida por Instituição financeira autorizada pelo Banco Central do Brasil - BACEN para funcionar no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Brasil.</w:t>
      </w:r>
    </w:p>
    <w:p>
      <w:pPr>
        <w:pStyle w:val="6"/>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spacing w:before="0"/>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Primeiro</w:t>
      </w:r>
      <w:r>
        <w:rPr>
          <w:rFonts w:hint="default" w:ascii="Arial" w:hAnsi="Arial" w:cs="Arial"/>
          <w:color w:val="000000" w:themeColor="text1"/>
          <w:sz w:val="22"/>
          <w:szCs w:val="22"/>
          <w14:textFill>
            <w14:solidFill>
              <w14:schemeClr w14:val="tx1"/>
            </w14:solidFill>
          </w14:textFill>
        </w:rPr>
        <w:t>. O Instrumento de Apólice de Seguro deve prever expressamente:</w:t>
      </w:r>
    </w:p>
    <w:p>
      <w:pPr>
        <w:pStyle w:val="6"/>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19"/>
        <w:numPr>
          <w:ilvl w:val="0"/>
          <w:numId w:val="39"/>
        </w:numPr>
        <w:tabs>
          <w:tab w:val="left" w:pos="1441"/>
          <w:tab w:val="left" w:pos="1442"/>
        </w:tabs>
        <w:spacing w:before="0" w:after="0" w:line="240" w:lineRule="auto"/>
        <w:ind w:left="418" w:leftChars="190" w:right="268" w:rightChars="122" w:firstLine="19" w:firstLineChars="9"/>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Responsabilidade</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seguradora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todas</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quaisquer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multas</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caráter sancionatório aplicadas ao</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Contratado;</w:t>
      </w:r>
    </w:p>
    <w:p>
      <w:pPr>
        <w:pStyle w:val="19"/>
        <w:numPr>
          <w:ilvl w:val="0"/>
          <w:numId w:val="39"/>
        </w:numPr>
        <w:tabs>
          <w:tab w:val="left" w:pos="1441"/>
          <w:tab w:val="left" w:pos="1442"/>
        </w:tabs>
        <w:spacing w:before="0" w:after="0" w:line="240" w:lineRule="auto"/>
        <w:ind w:left="418" w:leftChars="190" w:right="268" w:rightChars="122" w:firstLine="19" w:firstLineChars="9"/>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Vigência pelo prazo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19"/>
        <w:numPr>
          <w:ilvl w:val="0"/>
          <w:numId w:val="39"/>
        </w:numPr>
        <w:tabs>
          <w:tab w:val="left" w:pos="1442"/>
        </w:tabs>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pertinentes.</w:t>
      </w:r>
    </w:p>
    <w:p>
      <w:pPr>
        <w:pStyle w:val="6"/>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p>
    <w:p>
      <w:pPr>
        <w:spacing w:before="1"/>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Parágrafo Segundo. </w:t>
      </w:r>
      <w:r>
        <w:rPr>
          <w:rFonts w:hint="default" w:ascii="Arial" w:hAnsi="Arial" w:cs="Arial"/>
          <w:color w:val="000000" w:themeColor="text1"/>
          <w:sz w:val="22"/>
          <w:szCs w:val="22"/>
          <w14:textFill>
            <w14:solidFill>
              <w14:schemeClr w14:val="tx1"/>
            </w14:solidFill>
          </w14:textFill>
        </w:rPr>
        <w:t>O Instrumento de Fiança deve prever expressamente:</w:t>
      </w:r>
    </w:p>
    <w:p>
      <w:pPr>
        <w:pStyle w:val="6"/>
        <w:spacing w:before="11"/>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p>
    <w:p>
      <w:pPr>
        <w:pStyle w:val="19"/>
        <w:numPr>
          <w:ilvl w:val="1"/>
          <w:numId w:val="39"/>
        </w:numPr>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Renúncia expressa, pelo fiador, ao benefício de ordem disposto no artigo 827 do Código</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Civil;</w:t>
      </w:r>
    </w:p>
    <w:p>
      <w:pPr>
        <w:pStyle w:val="19"/>
        <w:numPr>
          <w:ilvl w:val="1"/>
          <w:numId w:val="39"/>
        </w:numPr>
        <w:spacing w:before="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Vigência pelo prazo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contratual;</w:t>
      </w:r>
    </w:p>
    <w:p>
      <w:pPr>
        <w:pStyle w:val="19"/>
        <w:numPr>
          <w:ilvl w:val="1"/>
          <w:numId w:val="39"/>
        </w:numPr>
        <w:spacing w:before="1"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Prazo de 30 (trinta) dias, contados a partir do término da vigência contratual, para apuração de eventual inadimplemento do</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Contratado</w:t>
      </w:r>
    </w:p>
    <w:p>
      <w:pPr>
        <w:pStyle w:val="6"/>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ocorrido durante a vigência contratual -, e para a comunicação do inadimplemento à Instituição Financeira, observados os prazos prescricionais pertinentes.</w:t>
      </w:r>
    </w:p>
    <w:p>
      <w:pPr>
        <w:pStyle w:val="6"/>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6"/>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Terceiro</w:t>
      </w:r>
      <w:r>
        <w:rPr>
          <w:rFonts w:hint="default" w:ascii="Arial" w:hAnsi="Arial" w:cs="Arial"/>
          <w:color w:val="000000" w:themeColor="text1"/>
          <w:sz w:val="22"/>
          <w:szCs w:val="22"/>
          <w14:textFill>
            <w14:solidFill>
              <w14:schemeClr w14:val="tx1"/>
            </w14:solidFill>
          </w14:textFill>
        </w:rPr>
        <w:t>. O prazo previsto para a apresentação da garantia poderá ser</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prorrogado,</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igual</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período,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solicitado</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CONTRATADA</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durante o respectivo transcurso, e desde que ocorra motivo justificado e aceito pela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w:t>
      </w:r>
    </w:p>
    <w:p>
      <w:pPr>
        <w:pStyle w:val="6"/>
        <w:spacing w:before="10"/>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6"/>
        <w:spacing w:before="92"/>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Quarto</w:t>
      </w:r>
      <w:r>
        <w:rPr>
          <w:rFonts w:hint="default" w:ascii="Arial" w:hAnsi="Arial" w:cs="Arial"/>
          <w:color w:val="000000" w:themeColor="text1"/>
          <w:sz w:val="22"/>
          <w:szCs w:val="22"/>
          <w14:textFill>
            <w14:solidFill>
              <w14:schemeClr w14:val="tx1"/>
            </w14:solidFill>
          </w14:textFill>
        </w:rPr>
        <w:t>. Em caso de alteração do valor contratual, prorrogação do prazo de vigência, utilização total ou parcial da garantia pela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ou em situações outras que impliquem em perda ou insuficiência da garantia, a CONTRATADA deverá providenciar a complementação ou substituição da garantia prestada no prazo determinado pela CODE</w:t>
      </w:r>
      <w:r>
        <w:rPr>
          <w:rFonts w:hint="default" w:ascii="Arial" w:hAnsi="Arial" w:cs="Arial"/>
          <w:color w:val="000000" w:themeColor="text1"/>
          <w:sz w:val="22"/>
          <w:szCs w:val="22"/>
          <w:lang w:val="pt-BR"/>
          <w14:textFill>
            <w14:solidFill>
              <w14:schemeClr w14:val="tx1"/>
            </w14:solidFill>
          </w14:textFill>
        </w:rPr>
        <w:t>N</w:t>
      </w:r>
      <w:r>
        <w:rPr>
          <w:rFonts w:hint="default" w:ascii="Arial" w:hAnsi="Arial" w:cs="Arial"/>
          <w:color w:val="000000" w:themeColor="text1"/>
          <w:sz w:val="22"/>
          <w:szCs w:val="22"/>
          <w14:textFill>
            <w14:solidFill>
              <w14:schemeClr w14:val="tx1"/>
            </w14:solidFill>
          </w14:textFill>
        </w:rPr>
        <w:t>, observadas as condições originais para aceitação da garantia estipuladas nesta Cláusula.</w:t>
      </w:r>
    </w:p>
    <w:p>
      <w:pPr>
        <w:pStyle w:val="6"/>
        <w:spacing w:before="10"/>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6"/>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Quinto</w:t>
      </w:r>
      <w:r>
        <w:rPr>
          <w:rFonts w:hint="default" w:ascii="Arial" w:hAnsi="Arial" w:cs="Arial"/>
          <w:color w:val="000000" w:themeColor="text1"/>
          <w:sz w:val="22"/>
          <w:szCs w:val="22"/>
          <w14:textFill>
            <w14:solidFill>
              <w14:schemeClr w14:val="tx1"/>
            </w14:solidFill>
          </w14:textFill>
        </w:rPr>
        <w:t>. A garantia prestada pela CONTRATADA será liberada ou restituída após a execução e cumprimento integral do presente Contrato.</w:t>
      </w:r>
    </w:p>
    <w:p>
      <w:pPr>
        <w:pStyle w:val="6"/>
        <w:spacing w:before="10"/>
        <w:ind w:left="418" w:leftChars="190" w:right="268" w:rightChars="122" w:firstLine="19" w:firstLineChars="9"/>
        <w:rPr>
          <w:rFonts w:hint="default" w:ascii="Arial" w:hAnsi="Arial" w:cs="Arial"/>
          <w:color w:val="000000" w:themeColor="text1"/>
          <w:sz w:val="22"/>
          <w:szCs w:val="22"/>
          <w14:textFill>
            <w14:solidFill>
              <w14:schemeClr w14:val="tx1"/>
            </w14:solidFill>
          </w14:textFill>
        </w:rPr>
      </w:pPr>
    </w:p>
    <w:p>
      <w:pPr>
        <w:pStyle w:val="6"/>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Sexto</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garantia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modalidade</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caução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dinheiro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será</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atualizada monetariamente pelo índice da caderneta de poupança quando da sua restituição, e não contemplando remuneração </w:t>
      </w:r>
      <w:r>
        <w:rPr>
          <w:rFonts w:hint="default" w:ascii="Arial" w:hAnsi="Arial" w:cs="Arial"/>
          <w:i/>
          <w:color w:val="000000" w:themeColor="text1"/>
          <w:sz w:val="22"/>
          <w:szCs w:val="22"/>
          <w14:textFill>
            <w14:solidFill>
              <w14:schemeClr w14:val="tx1"/>
            </w14:solidFill>
          </w14:textFill>
        </w:rPr>
        <w:t>pro rata</w:t>
      </w:r>
      <w:r>
        <w:rPr>
          <w:rFonts w:hint="default" w:ascii="Arial" w:hAnsi="Arial" w:cs="Arial"/>
          <w:i/>
          <w:color w:val="000000" w:themeColor="text1"/>
          <w:spacing w:val="-4"/>
          <w:sz w:val="22"/>
          <w:szCs w:val="22"/>
          <w14:textFill>
            <w14:solidFill>
              <w14:schemeClr w14:val="tx1"/>
            </w14:solidFill>
          </w14:textFill>
        </w:rPr>
        <w:t xml:space="preserve"> </w:t>
      </w:r>
      <w:r>
        <w:rPr>
          <w:rFonts w:hint="default" w:ascii="Arial" w:hAnsi="Arial" w:cs="Arial"/>
          <w:i/>
          <w:color w:val="000000" w:themeColor="text1"/>
          <w:sz w:val="22"/>
          <w:szCs w:val="22"/>
          <w14:textFill>
            <w14:solidFill>
              <w14:schemeClr w14:val="tx1"/>
            </w14:solidFill>
          </w14:textFill>
        </w:rPr>
        <w:t>die</w:t>
      </w:r>
      <w:r>
        <w:rPr>
          <w:rFonts w:hint="default" w:ascii="Arial" w:hAnsi="Arial" w:cs="Arial"/>
          <w:color w:val="000000" w:themeColor="text1"/>
          <w:sz w:val="22"/>
          <w:szCs w:val="22"/>
          <w14:textFill>
            <w14:solidFill>
              <w14:schemeClr w14:val="tx1"/>
            </w14:solidFill>
          </w14:textFill>
        </w:rPr>
        <w:t>.</w:t>
      </w:r>
    </w:p>
    <w:p>
      <w:pPr>
        <w:pStyle w:val="6"/>
        <w:ind w:left="418" w:leftChars="190" w:right="268" w:rightChars="122" w:firstLine="20" w:firstLineChars="9"/>
        <w:jc w:val="both"/>
        <w:rPr>
          <w:rFonts w:hint="default" w:ascii="Arial" w:hAnsi="Arial" w:cs="Arial"/>
          <w:b/>
          <w:color w:val="000000" w:themeColor="text1"/>
          <w:sz w:val="22"/>
          <w:szCs w:val="22"/>
          <w14:textFill>
            <w14:solidFill>
              <w14:schemeClr w14:val="tx1"/>
            </w14:solidFill>
          </w14:textFill>
        </w:rPr>
      </w:pPr>
    </w:p>
    <w:p>
      <w:pPr>
        <w:pStyle w:val="6"/>
        <w:ind w:left="418" w:leftChars="190" w:right="268" w:rightChars="122" w:firstLine="20"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S</w:t>
      </w:r>
      <w:r>
        <w:rPr>
          <w:rFonts w:hint="default" w:cs="Arial"/>
          <w:b/>
          <w:color w:val="000000" w:themeColor="text1"/>
          <w:sz w:val="22"/>
          <w:szCs w:val="22"/>
          <w:lang w:val="pt-BR"/>
          <w14:textFill>
            <w14:solidFill>
              <w14:schemeClr w14:val="tx1"/>
            </w14:solidFill>
          </w14:textFill>
        </w:rPr>
        <w:t>étimo</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O </w:t>
      </w:r>
      <w:r>
        <w:rPr>
          <w:rFonts w:hint="default" w:ascii="Arial" w:hAnsi="Arial" w:cs="Arial"/>
          <w:color w:val="000000" w:themeColor="text1"/>
          <w:sz w:val="22"/>
          <w:szCs w:val="22"/>
          <w:lang w:val="pt-BR"/>
          <w14:textFill>
            <w14:solidFill>
              <w14:schemeClr w14:val="tx1"/>
            </w14:solidFill>
          </w14:textFill>
        </w:rPr>
        <w:t xml:space="preserve">prazo de validade da garantia prestada será contado a partir da data de início da vigência do contrato, e deverá estender-se por mais 60 (sessenta) dias após o seu encerramento. </w:t>
      </w:r>
    </w:p>
    <w:p>
      <w:pPr>
        <w:pStyle w:val="6"/>
        <w:spacing w:before="1"/>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w:t>
      </w:r>
      <w:r>
        <w:rPr>
          <w:rFonts w:hint="default" w:cs="Arial"/>
          <w:sz w:val="22"/>
          <w:szCs w:val="22"/>
          <w:lang w:val="pt-BR"/>
        </w:rPr>
        <w:t>e</w:t>
      </w:r>
      <w:r>
        <w:rPr>
          <w:rFonts w:hint="default" w:ascii="Arial" w:hAnsi="Arial" w:cs="Arial"/>
          <w:sz w:val="22"/>
          <w:szCs w:val="22"/>
        </w:rPr>
        <w:t xml:space="preserve"> legislação vigente, compete à CONTRATADA:</w:t>
      </w:r>
    </w:p>
    <w:p>
      <w:pPr>
        <w:pStyle w:val="6"/>
        <w:spacing w:before="11"/>
        <w:ind w:left="418" w:leftChars="190" w:right="268" w:rightChars="122" w:firstLine="19" w:firstLineChars="9"/>
        <w:rPr>
          <w:rFonts w:hint="default" w:ascii="Arial" w:hAnsi="Arial" w:cs="Arial"/>
          <w:sz w:val="22"/>
          <w:szCs w:val="22"/>
        </w:rPr>
      </w:pPr>
    </w:p>
    <w:p>
      <w:pPr>
        <w:pStyle w:val="19"/>
        <w:numPr>
          <w:ilvl w:val="0"/>
          <w:numId w:val="40"/>
        </w:numPr>
        <w:tabs>
          <w:tab w:val="left" w:pos="1320"/>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9"/>
        <w:numPr>
          <w:ilvl w:val="0"/>
          <w:numId w:val="40"/>
        </w:numPr>
        <w:tabs>
          <w:tab w:val="left" w:pos="1320"/>
          <w:tab w:val="left" w:pos="1802"/>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9"/>
        <w:numPr>
          <w:ilvl w:val="0"/>
          <w:numId w:val="40"/>
        </w:numPr>
        <w:tabs>
          <w:tab w:val="left" w:pos="1320"/>
          <w:tab w:val="left" w:pos="1802"/>
        </w:tabs>
        <w:spacing w:before="120" w:after="0" w:line="240" w:lineRule="auto"/>
        <w:ind w:left="418" w:leftChars="190" w:right="268" w:rightChars="122" w:firstLine="19" w:firstLineChars="9"/>
        <w:jc w:val="both"/>
        <w:rPr>
          <w:rFonts w:hint="default" w:ascii="Arial" w:hAnsi="Arial" w:cs="Arial"/>
          <w:sz w:val="22"/>
          <w:szCs w:val="22"/>
        </w:rPr>
      </w:pPr>
      <w:r>
        <w:rPr>
          <w:rFonts w:hint="default" w:cs="Arial"/>
          <w:sz w:val="22"/>
          <w:szCs w:val="22"/>
          <w:lang w:val="pt-BR"/>
        </w:rPr>
        <w:t>Cumprir, dentro dos prazos assinalados, as obrigações contratadas.</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Providenciar junto ao CREA as Anotações de Responsabilidade Técnica – ART´s referentes ao objeto do contrato e especialidades pertinentes, nos termos da Lei nº</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6.496/1977.</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Promover a organização técnica e administrativa dos serviços, de modo a conduzi-los eficaz e eficientemente, de acordo com os documentos e especificações que integram o Contrato, no prazo determinado.</w:t>
      </w:r>
    </w:p>
    <w:p>
      <w:pPr>
        <w:pStyle w:val="19"/>
        <w:numPr>
          <w:ilvl w:val="0"/>
          <w:numId w:val="40"/>
        </w:numPr>
        <w:tabs>
          <w:tab w:val="left" w:pos="1320"/>
        </w:tabs>
        <w:spacing w:before="12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Conduzir os trabalhos com estrita observância às normas da legislação pertinente, cumprindo as determinações dos Poderes Públicos</w:t>
      </w:r>
      <w:r>
        <w:rPr>
          <w:rFonts w:hint="default" w:cs="Arial"/>
          <w:sz w:val="22"/>
          <w:szCs w:val="22"/>
          <w:lang w:val="pt-BR"/>
        </w:rPr>
        <w:t>.</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Refazer, às suas expensas, os trabalhos executados em desacordo com o estabelecido neste instrumento e as especificações</w:t>
      </w:r>
      <w:r>
        <w:rPr>
          <w:rFonts w:hint="default" w:ascii="Arial" w:hAnsi="Arial" w:cs="Arial"/>
          <w:spacing w:val="-28"/>
          <w:sz w:val="22"/>
          <w:szCs w:val="22"/>
        </w:rPr>
        <w:t xml:space="preserve"> </w:t>
      </w:r>
      <w:r>
        <w:rPr>
          <w:rFonts w:hint="default" w:ascii="Arial" w:hAnsi="Arial" w:cs="Arial"/>
          <w:sz w:val="22"/>
          <w:szCs w:val="22"/>
        </w:rPr>
        <w:t xml:space="preserve">constantes no </w:t>
      </w:r>
      <w:r>
        <w:rPr>
          <w:rFonts w:hint="default" w:cs="Arial"/>
          <w:sz w:val="22"/>
          <w:szCs w:val="22"/>
          <w:lang w:val="pt-BR"/>
        </w:rPr>
        <w:t>Termo de Referência.</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Prestar todo esclarecimento ou informação solicitada pela CONTRATANTE ou por seus prepostos, garantindo-lhes o acesso, a qualquer tempo,  aos documentos relativos à execução d</w:t>
      </w:r>
      <w:r>
        <w:rPr>
          <w:rFonts w:hint="default" w:cs="Arial"/>
          <w:sz w:val="22"/>
          <w:szCs w:val="22"/>
          <w:lang w:val="pt-BR"/>
        </w:rPr>
        <w:t>o objeto</w:t>
      </w:r>
      <w:r>
        <w:rPr>
          <w:rFonts w:hint="default" w:ascii="Arial" w:hAnsi="Arial" w:cs="Arial"/>
          <w:sz w:val="22"/>
          <w:szCs w:val="22"/>
        </w:rPr>
        <w:t>.</w:t>
      </w:r>
    </w:p>
    <w:p>
      <w:pPr>
        <w:pStyle w:val="19"/>
        <w:numPr>
          <w:ilvl w:val="0"/>
          <w:numId w:val="40"/>
        </w:numPr>
        <w:tabs>
          <w:tab w:val="left" w:pos="1320"/>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Paralisar, por determinação da CONTRATANTE, qualquer trabalho que não esteja sendo executado de acordo com a boa técnica ou que ponha em risco a segurança de pessoas ou bens de</w:t>
      </w:r>
      <w:r>
        <w:rPr>
          <w:rFonts w:hint="default" w:ascii="Arial" w:hAnsi="Arial" w:cs="Arial"/>
          <w:spacing w:val="-8"/>
          <w:sz w:val="22"/>
          <w:szCs w:val="22"/>
        </w:rPr>
        <w:t xml:space="preserve"> </w:t>
      </w:r>
      <w:r>
        <w:rPr>
          <w:rFonts w:hint="default" w:ascii="Arial" w:hAnsi="Arial" w:cs="Arial"/>
          <w:sz w:val="22"/>
          <w:szCs w:val="22"/>
        </w:rPr>
        <w:t>terceiros.</w:t>
      </w:r>
    </w:p>
    <w:p>
      <w:pPr>
        <w:pStyle w:val="19"/>
        <w:numPr>
          <w:ilvl w:val="0"/>
          <w:numId w:val="40"/>
        </w:numPr>
        <w:spacing w:before="120" w:after="0" w:line="240" w:lineRule="auto"/>
        <w:ind w:left="418" w:leftChars="190" w:right="268" w:rightChars="122" w:firstLine="19" w:firstLineChars="9"/>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9"/>
        <w:numPr>
          <w:ilvl w:val="0"/>
          <w:numId w:val="40"/>
        </w:numPr>
        <w:spacing w:before="12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9"/>
        <w:numPr>
          <w:ilvl w:val="0"/>
          <w:numId w:val="40"/>
        </w:numPr>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9"/>
        <w:numPr>
          <w:ilvl w:val="0"/>
          <w:numId w:val="40"/>
        </w:numPr>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Prestar os serviços dentro dos parâmetros e rotinas estabelecidos, fornecendo todos os materiais, equipamentos e utensílios em quantidade,</w:t>
      </w:r>
      <w:r>
        <w:rPr>
          <w:rFonts w:hint="default" w:ascii="Arial" w:hAnsi="Arial" w:cs="Arial"/>
          <w:spacing w:val="-8"/>
          <w:sz w:val="22"/>
          <w:szCs w:val="22"/>
        </w:rPr>
        <w:t xml:space="preserve"> </w:t>
      </w:r>
      <w:r>
        <w:rPr>
          <w:rFonts w:hint="default" w:ascii="Arial" w:hAnsi="Arial" w:cs="Arial"/>
          <w:sz w:val="22"/>
          <w:szCs w:val="22"/>
        </w:rPr>
        <w:t>qualidade</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tecnologia</w:t>
      </w:r>
      <w:r>
        <w:rPr>
          <w:rFonts w:hint="default" w:ascii="Arial" w:hAnsi="Arial" w:cs="Arial"/>
          <w:spacing w:val="-6"/>
          <w:sz w:val="22"/>
          <w:szCs w:val="22"/>
        </w:rPr>
        <w:t xml:space="preserve"> </w:t>
      </w:r>
      <w:r>
        <w:rPr>
          <w:rFonts w:hint="default" w:ascii="Arial" w:hAnsi="Arial" w:cs="Arial"/>
          <w:sz w:val="22"/>
          <w:szCs w:val="22"/>
        </w:rPr>
        <w:t>adequadas,</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observância</w:t>
      </w:r>
      <w:r>
        <w:rPr>
          <w:rFonts w:hint="default" w:ascii="Arial" w:hAnsi="Arial" w:cs="Arial"/>
          <w:spacing w:val="-8"/>
          <w:sz w:val="22"/>
          <w:szCs w:val="22"/>
        </w:rPr>
        <w:t xml:space="preserve"> </w:t>
      </w:r>
      <w:r>
        <w:rPr>
          <w:rFonts w:hint="default" w:ascii="Arial" w:hAnsi="Arial" w:cs="Arial"/>
          <w:sz w:val="22"/>
          <w:szCs w:val="22"/>
        </w:rPr>
        <w:t>às recomendações aceitas pela boa técnica, normas e</w:t>
      </w:r>
      <w:r>
        <w:rPr>
          <w:rFonts w:hint="default" w:ascii="Arial" w:hAnsi="Arial" w:cs="Arial"/>
          <w:spacing w:val="-17"/>
          <w:sz w:val="22"/>
          <w:szCs w:val="22"/>
        </w:rPr>
        <w:t xml:space="preserve"> </w:t>
      </w:r>
      <w:r>
        <w:rPr>
          <w:rFonts w:hint="default" w:ascii="Arial" w:hAnsi="Arial" w:cs="Arial"/>
          <w:sz w:val="22"/>
          <w:szCs w:val="22"/>
        </w:rPr>
        <w:t>legislação;</w:t>
      </w:r>
    </w:p>
    <w:p>
      <w:pPr>
        <w:pStyle w:val="19"/>
        <w:numPr>
          <w:ilvl w:val="0"/>
          <w:numId w:val="40"/>
        </w:numPr>
        <w:spacing w:before="121" w:after="0" w:line="240" w:lineRule="auto"/>
        <w:ind w:left="418" w:leftChars="190" w:right="268" w:rightChars="122" w:firstLine="19" w:firstLineChars="9"/>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9"/>
        <w:numPr>
          <w:ilvl w:val="0"/>
          <w:numId w:val="40"/>
        </w:numPr>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Responder</w:t>
      </w:r>
      <w:r>
        <w:rPr>
          <w:rFonts w:hint="default" w:ascii="Arial" w:hAnsi="Arial" w:cs="Arial"/>
          <w:spacing w:val="26"/>
          <w:sz w:val="22"/>
          <w:szCs w:val="22"/>
        </w:rPr>
        <w:t xml:space="preserve"> </w:t>
      </w:r>
      <w:r>
        <w:rPr>
          <w:rFonts w:hint="default" w:ascii="Arial" w:hAnsi="Arial" w:cs="Arial"/>
          <w:sz w:val="22"/>
          <w:szCs w:val="22"/>
        </w:rPr>
        <w:t>por</w:t>
      </w:r>
      <w:r>
        <w:rPr>
          <w:rFonts w:hint="default" w:ascii="Arial" w:hAnsi="Arial" w:cs="Arial"/>
          <w:spacing w:val="26"/>
          <w:sz w:val="22"/>
          <w:szCs w:val="22"/>
        </w:rPr>
        <w:t xml:space="preserve"> </w:t>
      </w:r>
      <w:r>
        <w:rPr>
          <w:rFonts w:hint="default" w:ascii="Arial" w:hAnsi="Arial" w:cs="Arial"/>
          <w:sz w:val="22"/>
          <w:szCs w:val="22"/>
        </w:rPr>
        <w:t>qualquer</w:t>
      </w:r>
      <w:r>
        <w:rPr>
          <w:rFonts w:hint="default" w:ascii="Arial" w:hAnsi="Arial" w:cs="Arial"/>
          <w:spacing w:val="27"/>
          <w:sz w:val="22"/>
          <w:szCs w:val="22"/>
        </w:rPr>
        <w:t xml:space="preserve"> </w:t>
      </w:r>
      <w:r>
        <w:rPr>
          <w:rFonts w:hint="default" w:ascii="Arial" w:hAnsi="Arial" w:cs="Arial"/>
          <w:sz w:val="22"/>
          <w:szCs w:val="22"/>
        </w:rPr>
        <w:t>prejuízo</w:t>
      </w:r>
      <w:r>
        <w:rPr>
          <w:rFonts w:hint="default" w:ascii="Arial" w:hAnsi="Arial" w:cs="Arial"/>
          <w:spacing w:val="27"/>
          <w:sz w:val="22"/>
          <w:szCs w:val="22"/>
        </w:rPr>
        <w:t xml:space="preserve"> </w:t>
      </w:r>
      <w:r>
        <w:rPr>
          <w:rFonts w:hint="default" w:ascii="Arial" w:hAnsi="Arial" w:cs="Arial"/>
          <w:sz w:val="22"/>
          <w:szCs w:val="22"/>
        </w:rPr>
        <w:t>ou</w:t>
      </w:r>
      <w:r>
        <w:rPr>
          <w:rFonts w:hint="default" w:ascii="Arial" w:hAnsi="Arial" w:cs="Arial"/>
          <w:spacing w:val="28"/>
          <w:sz w:val="22"/>
          <w:szCs w:val="22"/>
        </w:rPr>
        <w:t xml:space="preserve"> </w:t>
      </w:r>
      <w:r>
        <w:rPr>
          <w:rFonts w:hint="default" w:ascii="Arial" w:hAnsi="Arial" w:cs="Arial"/>
          <w:sz w:val="22"/>
          <w:szCs w:val="22"/>
        </w:rPr>
        <w:t>danos</w:t>
      </w:r>
      <w:r>
        <w:rPr>
          <w:rFonts w:hint="default" w:ascii="Arial" w:hAnsi="Arial" w:cs="Arial"/>
          <w:spacing w:val="24"/>
          <w:sz w:val="22"/>
          <w:szCs w:val="22"/>
        </w:rPr>
        <w:t xml:space="preserve"> </w:t>
      </w:r>
      <w:r>
        <w:rPr>
          <w:rFonts w:hint="default" w:ascii="Arial" w:hAnsi="Arial" w:cs="Arial"/>
          <w:sz w:val="22"/>
          <w:szCs w:val="22"/>
        </w:rPr>
        <w:t>causados</w:t>
      </w:r>
      <w:r>
        <w:rPr>
          <w:rFonts w:hint="default" w:ascii="Arial" w:hAnsi="Arial" w:cs="Arial"/>
          <w:spacing w:val="28"/>
          <w:sz w:val="22"/>
          <w:szCs w:val="22"/>
        </w:rPr>
        <w:t xml:space="preserve"> </w:t>
      </w:r>
      <w:r>
        <w:rPr>
          <w:rFonts w:hint="default" w:ascii="Arial" w:hAnsi="Arial" w:cs="Arial"/>
          <w:sz w:val="22"/>
          <w:szCs w:val="22"/>
        </w:rPr>
        <w:t>diretamente</w:t>
      </w:r>
      <w:r>
        <w:rPr>
          <w:rFonts w:hint="default" w:ascii="Arial" w:hAnsi="Arial" w:cs="Arial"/>
          <w:spacing w:val="25"/>
          <w:sz w:val="22"/>
          <w:szCs w:val="22"/>
        </w:rPr>
        <w:t xml:space="preserve"> </w:t>
      </w:r>
      <w:r>
        <w:rPr>
          <w:rFonts w:hint="default" w:ascii="Arial" w:hAnsi="Arial" w:cs="Arial"/>
          <w:sz w:val="22"/>
          <w:szCs w:val="22"/>
        </w:rPr>
        <w:t>à</w:t>
      </w:r>
      <w:r>
        <w:rPr>
          <w:rFonts w:hint="default" w:cs="Arial"/>
          <w:sz w:val="22"/>
          <w:szCs w:val="22"/>
          <w:lang w:val="pt-BR"/>
        </w:rPr>
        <w:t xml:space="preserve"> </w:t>
      </w:r>
      <w:r>
        <w:rPr>
          <w:rFonts w:hint="default" w:ascii="Arial" w:hAnsi="Arial" w:cs="Arial"/>
          <w:sz w:val="22"/>
          <w:szCs w:val="22"/>
          <w:lang w:val="pt-BR"/>
        </w:rPr>
        <w:t>CODEN</w:t>
      </w:r>
      <w:r>
        <w:rPr>
          <w:rFonts w:hint="default" w:ascii="Arial" w:hAnsi="Arial" w:cs="Arial"/>
          <w:sz w:val="22"/>
          <w:szCs w:val="22"/>
        </w:rPr>
        <w:t xml:space="preserve"> ou a terceiros, decorrentes de sua culpa ou dolo na execução do contrato, procedendo imediatamente aos reparos ou indenizações cabíveis e assumindo o ônus decorrente;</w:t>
      </w:r>
    </w:p>
    <w:p>
      <w:pPr>
        <w:pStyle w:val="19"/>
        <w:numPr>
          <w:ilvl w:val="0"/>
          <w:numId w:val="40"/>
        </w:numPr>
        <w:spacing w:before="120" w:after="0" w:line="240" w:lineRule="auto"/>
        <w:ind w:left="418" w:leftChars="190" w:right="268" w:rightChars="122" w:firstLine="19" w:firstLineChars="9"/>
        <w:jc w:val="both"/>
        <w:rPr>
          <w:rFonts w:hint="default" w:ascii="Arial" w:hAnsi="Arial" w:cs="Arial"/>
          <w:sz w:val="22"/>
          <w:szCs w:val="22"/>
        </w:rPr>
      </w:pPr>
      <w:r>
        <w:rPr>
          <w:rFonts w:hint="default" w:cs="Arial"/>
          <w:sz w:val="22"/>
          <w:szCs w:val="22"/>
          <w:lang w:val="pt-BR"/>
        </w:rPr>
        <w:t>Não infringir quaisquer direitos autorais, patentes ou registros, inclusive marcs, know-how e segredos comerciais, durante a execução do contrato, sendo responsável pelos prejuízos, inclusive honorários de advogado, custas e despesas decorrente de qualquer medida ou processo judicial ou administrativo iniciado em face da CODEN, por acusação da espécie.</w:t>
      </w:r>
    </w:p>
    <w:p>
      <w:pPr>
        <w:pStyle w:val="6"/>
        <w:spacing w:before="5"/>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6"/>
        <w:spacing w:before="10"/>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9"/>
        <w:numPr>
          <w:ilvl w:val="0"/>
          <w:numId w:val="41"/>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9"/>
        <w:numPr>
          <w:ilvl w:val="0"/>
          <w:numId w:val="41"/>
        </w:numPr>
        <w:tabs>
          <w:tab w:val="left" w:pos="1441"/>
          <w:tab w:val="left" w:pos="1442"/>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9"/>
        <w:numPr>
          <w:ilvl w:val="0"/>
          <w:numId w:val="41"/>
        </w:numPr>
        <w:tabs>
          <w:tab w:val="left" w:pos="1441"/>
          <w:tab w:val="left" w:pos="1442"/>
        </w:tabs>
        <w:spacing w:before="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9"/>
        <w:numPr>
          <w:ilvl w:val="0"/>
          <w:numId w:val="41"/>
        </w:numPr>
        <w:tabs>
          <w:tab w:val="left" w:pos="1441"/>
          <w:tab w:val="left" w:pos="1442"/>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9"/>
        <w:numPr>
          <w:ilvl w:val="0"/>
          <w:numId w:val="41"/>
        </w:numPr>
        <w:tabs>
          <w:tab w:val="left" w:pos="1441"/>
          <w:tab w:val="left" w:pos="1442"/>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9"/>
        <w:numPr>
          <w:ilvl w:val="0"/>
          <w:numId w:val="41"/>
        </w:numPr>
        <w:tabs>
          <w:tab w:val="left" w:pos="1441"/>
          <w:tab w:val="left" w:pos="1442"/>
        </w:tabs>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9"/>
        <w:numPr>
          <w:ilvl w:val="1"/>
          <w:numId w:val="41"/>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9"/>
        <w:numPr>
          <w:ilvl w:val="1"/>
          <w:numId w:val="41"/>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9"/>
        <w:numPr>
          <w:ilvl w:val="1"/>
          <w:numId w:val="41"/>
        </w:numPr>
        <w:spacing w:before="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6"/>
        <w:spacing w:before="11"/>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6"/>
        <w:spacing w:before="41"/>
        <w:ind w:left="418" w:leftChars="190" w:right="268" w:rightChars="122" w:firstLine="19" w:firstLineChars="9"/>
        <w:jc w:val="both"/>
        <w:rPr>
          <w:rFonts w:hint="default" w:ascii="Arial" w:hAnsi="Arial" w:cs="Arial"/>
          <w:sz w:val="22"/>
          <w:szCs w:val="22"/>
          <w:lang w:val="pt-BR"/>
        </w:rPr>
      </w:pPr>
      <w:r>
        <w:rPr>
          <w:rFonts w:hint="default" w:ascii="Arial" w:hAnsi="Arial" w:cs="Arial"/>
          <w:sz w:val="22"/>
          <w:szCs w:val="22"/>
        </w:rPr>
        <w:t>As atividades de fiscalização do presente contrato, serão exercidas pelo(a) fiscal designado(a) Sr.</w:t>
      </w:r>
      <w:r>
        <w:rPr>
          <w:rFonts w:hint="default" w:cs="Arial"/>
          <w:sz w:val="22"/>
          <w:szCs w:val="22"/>
          <w:lang w:val="pt-BR"/>
        </w:rPr>
        <w:t xml:space="preserve"> Rean Gustavo Sobrinho</w:t>
      </w:r>
      <w:r>
        <w:rPr>
          <w:rFonts w:hint="default" w:ascii="Arial" w:hAnsi="Arial" w:cs="Arial"/>
          <w:sz w:val="22"/>
          <w:szCs w:val="22"/>
        </w:rPr>
        <w:t>, matrícula</w:t>
      </w:r>
      <w:r>
        <w:rPr>
          <w:rFonts w:hint="default" w:ascii="Arial" w:hAnsi="Arial" w:cs="Arial"/>
          <w:sz w:val="22"/>
          <w:szCs w:val="22"/>
          <w:lang w:val="pt-BR"/>
        </w:rPr>
        <w:t xml:space="preserve"> </w:t>
      </w:r>
      <w:r>
        <w:rPr>
          <w:rFonts w:hint="default" w:cs="Arial"/>
          <w:sz w:val="22"/>
          <w:szCs w:val="22"/>
          <w:lang w:val="pt-BR"/>
        </w:rPr>
        <w:t xml:space="preserve">nº 1199,  </w:t>
      </w:r>
      <w:r>
        <w:rPr>
          <w:rFonts w:hint="default" w:ascii="Arial" w:hAnsi="Arial" w:cs="Arial"/>
          <w:color w:val="000000" w:themeColor="text1"/>
          <w:sz w:val="22"/>
          <w:szCs w:val="22"/>
          <w14:textFill>
            <w14:solidFill>
              <w14:schemeClr w14:val="tx1"/>
            </w14:solidFill>
          </w14:textFill>
        </w:rPr>
        <w:t>e nas suas ausências pode</w:t>
      </w:r>
      <w:r>
        <w:rPr>
          <w:rFonts w:hint="default" w:cs="Arial"/>
          <w:color w:val="000000" w:themeColor="text1"/>
          <w:sz w:val="22"/>
          <w:szCs w:val="22"/>
          <w:lang w:val="pt-BR"/>
          <w14:textFill>
            <w14:solidFill>
              <w14:schemeClr w14:val="tx1"/>
            </w14:solidFill>
          </w14:textFill>
        </w:rPr>
        <w:t>rá</w:t>
      </w:r>
      <w:r>
        <w:rPr>
          <w:rFonts w:hint="default" w:ascii="Arial" w:hAnsi="Arial" w:cs="Arial"/>
          <w:color w:val="000000" w:themeColor="text1"/>
          <w:sz w:val="22"/>
          <w:szCs w:val="22"/>
          <w14:textFill>
            <w14:solidFill>
              <w14:schemeClr w14:val="tx1"/>
            </w14:solidFill>
          </w14:textFill>
        </w:rPr>
        <w:t xml:space="preserve"> ser substituído </w:t>
      </w:r>
      <w:r>
        <w:rPr>
          <w:rFonts w:hint="default" w:cs="Arial"/>
          <w:color w:val="000000" w:themeColor="text1"/>
          <w:sz w:val="22"/>
          <w:szCs w:val="22"/>
          <w:lang w:val="pt-BR"/>
          <w14:textFill>
            <w14:solidFill>
              <w14:schemeClr w14:val="tx1"/>
            </w14:solidFill>
          </w14:textFill>
        </w:rPr>
        <w:t>por suplente</w:t>
      </w:r>
      <w:r>
        <w:rPr>
          <w:rFonts w:hint="default" w:ascii="Arial" w:hAnsi="Arial" w:cs="Arial"/>
          <w:color w:val="000000" w:themeColor="text1"/>
          <w:sz w:val="22"/>
          <w:szCs w:val="22"/>
          <w14:textFill>
            <w14:solidFill>
              <w14:schemeClr w14:val="tx1"/>
            </w14:solidFill>
          </w14:textFill>
        </w:rPr>
        <w:t xml:space="preserve"> mediante despacho da autoridade superior</w:t>
      </w:r>
      <w:r>
        <w:rPr>
          <w:rFonts w:hint="default" w:cs="Arial"/>
          <w:color w:val="000000" w:themeColor="text1"/>
          <w:sz w:val="22"/>
          <w:szCs w:val="22"/>
          <w:lang w:val="pt-BR"/>
          <w14:textFill>
            <w14:solidFill>
              <w14:schemeClr w14:val="tx1"/>
            </w14:solidFill>
          </w14:textFill>
        </w:rPr>
        <w:t>.</w:t>
      </w:r>
    </w:p>
    <w:p>
      <w:pPr>
        <w:pStyle w:val="6"/>
        <w:spacing w:before="1"/>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92" w:after="0" w:line="240" w:lineRule="auto"/>
        <w:ind w:left="418" w:leftChars="190" w:right="268" w:rightChars="122" w:firstLine="20" w:firstLineChars="9"/>
        <w:jc w:val="both"/>
        <w:rPr>
          <w:rFonts w:hint="default" w:ascii="Arial" w:hAnsi="Arial" w:cs="Arial"/>
          <w:sz w:val="22"/>
          <w:szCs w:val="22"/>
        </w:rPr>
      </w:pPr>
      <w:r>
        <w:rPr>
          <w:rFonts w:hint="default" w:ascii="Arial" w:hAnsi="Arial" w:cs="Arial"/>
          <w:sz w:val="22"/>
          <w:szCs w:val="22"/>
        </w:rPr>
        <w:t>DO RECEBIMENTO DO OBJETO</w:t>
      </w:r>
    </w:p>
    <w:p>
      <w:pPr>
        <w:pStyle w:val="6"/>
        <w:spacing w:before="41" w:line="276"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9"/>
        <w:numPr>
          <w:ilvl w:val="0"/>
          <w:numId w:val="42"/>
        </w:numPr>
        <w:tabs>
          <w:tab w:val="left" w:pos="1435"/>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9"/>
        <w:numPr>
          <w:ilvl w:val="0"/>
          <w:numId w:val="42"/>
        </w:numPr>
        <w:tabs>
          <w:tab w:val="left" w:pos="1435"/>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9"/>
        <w:numPr>
          <w:ilvl w:val="0"/>
          <w:numId w:val="42"/>
        </w:numPr>
        <w:tabs>
          <w:tab w:val="left" w:pos="1434"/>
          <w:tab w:val="left" w:pos="1435"/>
        </w:tabs>
        <w:spacing w:before="12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6"/>
        <w:spacing w:before="120"/>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6"/>
        <w:spacing w:before="1"/>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6"/>
        <w:ind w:left="418" w:leftChars="190" w:right="268" w:rightChars="122" w:firstLine="19" w:firstLineChars="9"/>
        <w:jc w:val="both"/>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b/>
          <w:sz w:val="22"/>
          <w:szCs w:val="22"/>
        </w:rPr>
        <w:t xml:space="preserve">Parágrafo </w:t>
      </w:r>
      <w:r>
        <w:rPr>
          <w:b/>
          <w:sz w:val="22"/>
          <w:szCs w:val="22"/>
          <w:lang w:val="pt-BR"/>
        </w:rPr>
        <w:t>segundo</w:t>
      </w:r>
      <w:r>
        <w:rPr>
          <w:sz w:val="22"/>
          <w:szCs w:val="22"/>
        </w:rPr>
        <w:t>.</w:t>
      </w:r>
      <w:r>
        <w:rPr>
          <w:rFonts w:hint="default" w:ascii="Arial" w:hAnsi="Arial" w:cs="Arial"/>
          <w:sz w:val="22"/>
          <w:szCs w:val="22"/>
        </w:rPr>
        <w:t>As alterações contratuais serão formalizadas através de Termo Aditivo.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6"/>
        <w:spacing w:before="1"/>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 w:val="left" w:pos="132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6"/>
        <w:spacing w:before="43"/>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 w:val="left" w:pos="132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6"/>
        <w:spacing w:line="276" w:lineRule="auto"/>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6"/>
        <w:spacing w:before="8"/>
        <w:ind w:left="418" w:leftChars="190" w:right="268" w:rightChars="122" w:firstLine="19" w:firstLineChars="9"/>
        <w:rPr>
          <w:rFonts w:hint="default" w:ascii="Arial" w:hAnsi="Arial" w:cs="Arial"/>
          <w:sz w:val="22"/>
          <w:szCs w:val="22"/>
        </w:rPr>
      </w:pPr>
    </w:p>
    <w:p>
      <w:pPr>
        <w:pStyle w:val="2"/>
        <w:numPr>
          <w:ilvl w:val="0"/>
          <w:numId w:val="37"/>
        </w:numPr>
        <w:tabs>
          <w:tab w:val="left" w:pos="1100"/>
          <w:tab w:val="left" w:pos="132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 SIGILO</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6"/>
        <w:spacing w:before="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1"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6"/>
        <w:spacing w:before="43" w:line="259"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6"/>
        <w:spacing w:before="10"/>
        <w:ind w:left="418" w:leftChars="190" w:right="268" w:rightChars="122" w:firstLine="19" w:firstLineChars="9"/>
        <w:rPr>
          <w:rFonts w:hint="default" w:ascii="Arial" w:hAnsi="Arial" w:cs="Arial"/>
          <w:sz w:val="22"/>
          <w:szCs w:val="22"/>
        </w:rPr>
      </w:pPr>
    </w:p>
    <w:p>
      <w:pPr>
        <w:pStyle w:val="6"/>
        <w:spacing w:before="1"/>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6"/>
        <w:spacing w:before="11"/>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6"/>
        <w:ind w:left="418" w:leftChars="190" w:right="268" w:rightChars="122" w:firstLine="19" w:firstLineChars="9"/>
        <w:rPr>
          <w:rFonts w:hint="default" w:ascii="Arial" w:hAnsi="Arial" w:cs="Arial"/>
          <w:sz w:val="22"/>
          <w:szCs w:val="22"/>
        </w:rPr>
      </w:pPr>
    </w:p>
    <w:p>
      <w:pPr>
        <w:pStyle w:val="19"/>
        <w:numPr>
          <w:ilvl w:val="0"/>
          <w:numId w:val="43"/>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Advertência;</w:t>
      </w:r>
    </w:p>
    <w:p>
      <w:pPr>
        <w:pStyle w:val="19"/>
        <w:numPr>
          <w:ilvl w:val="0"/>
          <w:numId w:val="43"/>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9"/>
        <w:numPr>
          <w:ilvl w:val="0"/>
          <w:numId w:val="43"/>
        </w:numPr>
        <w:spacing w:before="92"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9"/>
        <w:numPr>
          <w:ilvl w:val="0"/>
          <w:numId w:val="43"/>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20" w:firstLineChars="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6"/>
        <w:spacing w:before="5"/>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6"/>
        <w:spacing w:before="42"/>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Este contrato poderá ser extinto:</w:t>
      </w:r>
    </w:p>
    <w:p>
      <w:pPr>
        <w:pStyle w:val="19"/>
        <w:numPr>
          <w:ilvl w:val="0"/>
          <w:numId w:val="44"/>
        </w:numPr>
        <w:spacing w:before="2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9"/>
        <w:numPr>
          <w:ilvl w:val="0"/>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9"/>
        <w:numPr>
          <w:ilvl w:val="0"/>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9"/>
        <w:numPr>
          <w:ilvl w:val="0"/>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9"/>
        <w:numPr>
          <w:ilvl w:val="0"/>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9"/>
        <w:numPr>
          <w:ilvl w:val="0"/>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9"/>
        <w:numPr>
          <w:ilvl w:val="1"/>
          <w:numId w:val="44"/>
        </w:numPr>
        <w:spacing w:before="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9"/>
        <w:numPr>
          <w:ilvl w:val="1"/>
          <w:numId w:val="44"/>
        </w:numPr>
        <w:spacing w:before="1"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9"/>
        <w:numPr>
          <w:ilvl w:val="1"/>
          <w:numId w:val="44"/>
        </w:numPr>
        <w:spacing w:before="0" w:after="0" w:line="240" w:lineRule="auto"/>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6"/>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0"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DOS CASOS OMISSOS</w:t>
      </w:r>
    </w:p>
    <w:p>
      <w:pPr>
        <w:pStyle w:val="6"/>
        <w:spacing w:before="4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6"/>
        <w:spacing w:before="3"/>
        <w:ind w:left="418" w:leftChars="190" w:right="268" w:rightChars="122" w:firstLine="19" w:firstLineChars="9"/>
        <w:rPr>
          <w:rFonts w:hint="default" w:ascii="Arial" w:hAnsi="Arial" w:cs="Arial"/>
          <w:sz w:val="22"/>
          <w:szCs w:val="22"/>
        </w:rPr>
      </w:pPr>
    </w:p>
    <w:p>
      <w:pPr>
        <w:pStyle w:val="2"/>
        <w:numPr>
          <w:ilvl w:val="0"/>
          <w:numId w:val="37"/>
        </w:numPr>
        <w:tabs>
          <w:tab w:val="left" w:pos="1100"/>
        </w:tabs>
        <w:spacing w:before="93" w:after="0" w:line="240" w:lineRule="auto"/>
        <w:ind w:left="418" w:leftChars="190" w:right="268" w:rightChars="122" w:firstLine="20" w:firstLineChars="9"/>
        <w:jc w:val="left"/>
        <w:rPr>
          <w:rFonts w:hint="default" w:ascii="Arial" w:hAnsi="Arial" w:cs="Arial"/>
          <w:sz w:val="22"/>
          <w:szCs w:val="22"/>
        </w:rPr>
      </w:pPr>
      <w:r>
        <w:rPr>
          <w:rFonts w:hint="default" w:ascii="Arial" w:hAnsi="Arial" w:cs="Arial"/>
          <w:sz w:val="22"/>
          <w:szCs w:val="22"/>
        </w:rPr>
        <w:t>DO FORO</w:t>
      </w:r>
    </w:p>
    <w:p>
      <w:pPr>
        <w:pStyle w:val="6"/>
        <w:spacing w:before="40"/>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spacing w:before="1"/>
        <w:ind w:left="418" w:leftChars="190" w:right="268" w:rightChars="122" w:firstLine="19" w:firstLineChars="9"/>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6"/>
        <w:spacing w:before="1"/>
        <w:ind w:left="418" w:leftChars="190" w:right="268" w:rightChars="122" w:firstLine="19" w:firstLineChars="9"/>
        <w:jc w:val="both"/>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tabs>
          <w:tab w:val="left" w:pos="4564"/>
        </w:tabs>
        <w:ind w:left="418" w:leftChars="190" w:right="268" w:rightChars="122" w:firstLine="19" w:firstLineChars="9"/>
        <w:jc w:val="center"/>
        <w:rPr>
          <w:rFonts w:hint="default" w:ascii="Arial" w:hAnsi="Arial" w:cs="Arial"/>
          <w:sz w:val="22"/>
          <w:szCs w:val="22"/>
          <w:lang w:val="pt-BR"/>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cs="Arial"/>
          <w:sz w:val="22"/>
          <w:szCs w:val="22"/>
          <w:lang w:val="pt-BR"/>
        </w:rPr>
        <w:t>19.</w:t>
      </w: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p>
    <w:p>
      <w:pPr>
        <w:pStyle w:val="6"/>
        <w:ind w:left="418" w:leftChars="190" w:right="268" w:rightChars="122" w:firstLine="19" w:firstLineChars="9"/>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1024;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418" w:leftChars="190" w:right="268" w:rightChars="122" w:firstLine="20" w:firstLineChars="9"/>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418" w:leftChars="190" w:right="268" w:rightChars="122" w:firstLine="20" w:firstLineChars="9"/>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6"/>
        <w:ind w:left="418" w:leftChars="190" w:right="268" w:rightChars="122" w:firstLine="20" w:firstLineChars="9"/>
        <w:rPr>
          <w:rFonts w:hint="default" w:ascii="Arial" w:hAnsi="Arial" w:cs="Arial"/>
          <w:b/>
          <w:sz w:val="22"/>
          <w:szCs w:val="22"/>
        </w:rPr>
      </w:pPr>
    </w:p>
    <w:p>
      <w:pPr>
        <w:pStyle w:val="6"/>
        <w:ind w:left="418" w:leftChars="190" w:right="268" w:rightChars="122" w:firstLine="20" w:firstLineChars="9"/>
        <w:rPr>
          <w:rFonts w:hint="default" w:ascii="Arial" w:hAnsi="Arial" w:cs="Arial"/>
          <w:b/>
          <w:sz w:val="22"/>
          <w:szCs w:val="22"/>
        </w:rPr>
      </w:pPr>
    </w:p>
    <w:p>
      <w:pPr>
        <w:pStyle w:val="6"/>
        <w:spacing w:before="11"/>
        <w:ind w:left="418" w:leftChars="190" w:right="268" w:rightChars="122" w:firstLine="19" w:firstLineChars="9"/>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1024;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6"/>
        <w:spacing w:line="250" w:lineRule="exact"/>
        <w:ind w:left="418" w:leftChars="190" w:right="268" w:rightChars="122" w:firstLine="19" w:firstLineChars="9"/>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6"/>
        <w:ind w:left="418" w:leftChars="190" w:right="268" w:rightChars="122" w:firstLine="19" w:firstLineChars="9"/>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418" w:leftChars="190" w:right="268" w:rightChars="122" w:firstLine="20" w:firstLineChars="9"/>
        <w:rPr>
          <w:rFonts w:hint="default" w:ascii="Arial" w:hAnsi="Arial" w:cs="Arial"/>
          <w:sz w:val="22"/>
          <w:szCs w:val="22"/>
        </w:rPr>
      </w:pPr>
    </w:p>
    <w:p>
      <w:pPr>
        <w:pStyle w:val="2"/>
        <w:ind w:left="418" w:leftChars="190" w:right="268" w:rightChars="122" w:firstLine="20" w:firstLineChars="9"/>
        <w:rPr>
          <w:rFonts w:hint="default" w:ascii="Arial" w:hAnsi="Arial" w:cs="Arial"/>
          <w:sz w:val="22"/>
          <w:szCs w:val="22"/>
        </w:rPr>
      </w:pPr>
    </w:p>
    <w:p>
      <w:pPr>
        <w:pStyle w:val="2"/>
        <w:ind w:left="418" w:leftChars="190" w:right="268" w:rightChars="122" w:firstLine="20" w:firstLineChars="9"/>
        <w:rPr>
          <w:rFonts w:hint="default" w:ascii="Arial" w:hAnsi="Arial" w:cs="Arial"/>
          <w:sz w:val="22"/>
          <w:szCs w:val="22"/>
        </w:rPr>
      </w:pPr>
    </w:p>
    <w:p>
      <w:pPr>
        <w:pStyle w:val="2"/>
        <w:ind w:left="418" w:leftChars="190" w:right="268" w:rightChars="122" w:firstLine="20" w:firstLineChars="9"/>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6"/>
        <w:ind w:left="418" w:leftChars="190" w:right="268" w:rightChars="122" w:firstLine="19" w:firstLineChars="9"/>
        <w:rPr>
          <w:rFonts w:hint="default" w:ascii="Arial" w:hAnsi="Arial" w:cs="Arial"/>
          <w:sz w:val="22"/>
          <w:szCs w:val="22"/>
        </w:rPr>
      </w:pPr>
    </w:p>
    <w:p>
      <w:pPr>
        <w:pStyle w:val="6"/>
        <w:tabs>
          <w:tab w:val="left" w:pos="5965"/>
          <w:tab w:val="left" w:pos="8540"/>
        </w:tabs>
        <w:spacing w:line="480" w:lineRule="auto"/>
        <w:ind w:left="418" w:leftChars="190" w:right="268" w:rightChars="122" w:firstLine="19" w:firstLineChars="9"/>
        <w:rPr>
          <w:rFonts w:hint="default" w:ascii="Arial" w:hAnsi="Arial" w:cs="Arial"/>
          <w:sz w:val="22"/>
          <w:szCs w:val="22"/>
        </w:rPr>
      </w:pPr>
    </w:p>
    <w:p>
      <w:pPr>
        <w:pStyle w:val="6"/>
        <w:tabs>
          <w:tab w:val="left" w:pos="5965"/>
          <w:tab w:val="left" w:pos="8540"/>
        </w:tabs>
        <w:spacing w:line="480" w:lineRule="auto"/>
        <w:ind w:left="418" w:leftChars="190" w:right="268" w:rightChars="122" w:firstLine="19" w:firstLineChars="9"/>
        <w:rPr>
          <w:rFonts w:hint="default" w:ascii="Arial" w:hAnsi="Arial" w:cs="Arial"/>
          <w:sz w:val="22"/>
          <w:szCs w:val="22"/>
          <w:u w:val="single"/>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p>
    <w:p>
      <w:pPr>
        <w:pStyle w:val="6"/>
        <w:tabs>
          <w:tab w:val="left" w:pos="5965"/>
          <w:tab w:val="left" w:pos="8540"/>
        </w:tabs>
        <w:spacing w:line="480" w:lineRule="auto"/>
        <w:ind w:left="418" w:leftChars="190" w:right="268" w:rightChars="122" w:firstLine="19" w:firstLineChars="9"/>
        <w:rPr>
          <w:rFonts w:hint="default" w:ascii="Arial" w:hAnsi="Arial" w:cs="Arial"/>
          <w:sz w:val="22"/>
          <w:szCs w:val="22"/>
        </w:rPr>
      </w:pPr>
    </w:p>
    <w:p>
      <w:pPr>
        <w:pStyle w:val="6"/>
        <w:tabs>
          <w:tab w:val="left" w:pos="5965"/>
          <w:tab w:val="left" w:pos="8540"/>
        </w:tabs>
        <w:spacing w:line="480" w:lineRule="auto"/>
        <w:ind w:left="418" w:leftChars="190" w:right="268" w:rightChars="122" w:firstLine="19" w:firstLineChars="9"/>
        <w:rPr>
          <w:rFonts w:hint="default" w:ascii="Arial" w:hAnsi="Arial" w:cs="Arial"/>
          <w:sz w:val="22"/>
          <w:szCs w:val="22"/>
        </w:rPr>
        <w:sectPr>
          <w:headerReference r:id="rId5" w:type="default"/>
          <w:footerReference r:id="rId6" w:type="default"/>
          <w:pgSz w:w="11910" w:h="16850"/>
          <w:pgMar w:top="2520" w:right="980" w:bottom="1280" w:left="980" w:header="709" w:footer="1007" w:gutter="0"/>
          <w:pgNumType w:fmt="decimal"/>
        </w:sect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p>
    <w:p>
      <w:pPr>
        <w:pStyle w:val="2"/>
        <w:spacing w:before="92"/>
        <w:ind w:left="2099"/>
        <w:rPr>
          <w:rFonts w:hint="default" w:ascii="Arial" w:hAnsi="Arial" w:cs="Arial"/>
          <w:sz w:val="22"/>
          <w:szCs w:val="22"/>
        </w:rPr>
      </w:pPr>
      <w:bookmarkStart w:id="56" w:name="_TOC_250003"/>
      <w:bookmarkEnd w:id="56"/>
      <w:r>
        <w:rPr>
          <w:rFonts w:hint="default" w:ascii="Arial" w:hAnsi="Arial" w:cs="Arial"/>
          <w:sz w:val="22"/>
          <w:szCs w:val="22"/>
        </w:rPr>
        <w:t>ANEXO V - MODELO DE PROPOSTA COMERCIAL</w:t>
      </w:r>
    </w:p>
    <w:p>
      <w:pPr>
        <w:rPr>
          <w:rFonts w:hint="default"/>
        </w:rPr>
      </w:pPr>
    </w:p>
    <w:p>
      <w:pPr>
        <w:rPr>
          <w:rFonts w:hint="default" w:ascii="Arial" w:hAnsi="Arial" w:cs="Arial"/>
          <w:sz w:val="22"/>
          <w:szCs w:val="22"/>
        </w:rPr>
      </w:pPr>
    </w:p>
    <w:p>
      <w:pPr>
        <w:jc w:val="center"/>
        <w:rPr>
          <w:rFonts w:hint="default" w:ascii="Arial" w:hAnsi="Arial" w:cs="Arial"/>
          <w:b/>
          <w:sz w:val="22"/>
          <w:szCs w:val="22"/>
          <w:lang w:val="pt-BR"/>
        </w:rPr>
      </w:pPr>
      <w:r>
        <w:rPr>
          <w:rFonts w:hint="default" w:ascii="Arial" w:hAnsi="Arial" w:cs="Arial"/>
          <w:b/>
          <w:sz w:val="22"/>
          <w:szCs w:val="22"/>
        </w:rPr>
        <w:t xml:space="preserve">PROPOSTA COMERCIAL </w:t>
      </w:r>
      <w:r>
        <w:rPr>
          <w:rFonts w:hint="default" w:ascii="Arial" w:hAnsi="Arial" w:cs="Arial"/>
          <w:b/>
          <w:sz w:val="22"/>
          <w:szCs w:val="22"/>
          <w:lang w:val="pt-BR"/>
        </w:rPr>
        <w:t xml:space="preserve">LICITAÇÃO PRESENCIAL N° </w:t>
      </w:r>
      <w:r>
        <w:rPr>
          <w:rFonts w:hint="default" w:cs="Arial"/>
          <w:b/>
          <w:sz w:val="22"/>
          <w:szCs w:val="22"/>
          <w:lang w:val="pt-BR"/>
        </w:rPr>
        <w:t>0002</w:t>
      </w:r>
      <w:r>
        <w:rPr>
          <w:rFonts w:hint="default" w:ascii="Arial" w:hAnsi="Arial" w:cs="Arial"/>
          <w:b/>
          <w:sz w:val="22"/>
          <w:szCs w:val="22"/>
          <w:lang w:val="pt-BR"/>
        </w:rPr>
        <w:t xml:space="preserve">/2019 </w:t>
      </w:r>
    </w:p>
    <w:p>
      <w:pPr>
        <w:jc w:val="center"/>
        <w:rPr>
          <w:rFonts w:hint="default" w:ascii="Arial" w:hAnsi="Arial" w:cs="Arial"/>
          <w:b/>
          <w:sz w:val="22"/>
          <w:szCs w:val="22"/>
          <w:lang w:val="pt-BR"/>
        </w:rPr>
      </w:pPr>
      <w:r>
        <w:rPr>
          <w:rFonts w:hint="default" w:ascii="Arial" w:hAnsi="Arial" w:cs="Arial"/>
          <w:b/>
          <w:sz w:val="22"/>
          <w:szCs w:val="22"/>
          <w:lang w:val="pt-BR"/>
        </w:rPr>
        <w:t>MODO DE DISPUTA ABERTO</w:t>
      </w:r>
    </w:p>
    <w:p>
      <w:pPr>
        <w:jc w:val="center"/>
        <w:rPr>
          <w:rFonts w:hint="default" w:ascii="Arial" w:hAnsi="Arial" w:cs="Arial"/>
          <w:sz w:val="22"/>
          <w:szCs w:val="22"/>
          <w:lang w:val="pt-BR"/>
        </w:rPr>
      </w:pPr>
      <w:r>
        <w:rPr>
          <w:rFonts w:hint="default" w:ascii="Arial" w:hAnsi="Arial" w:cs="Arial"/>
          <w:sz w:val="22"/>
          <w:szCs w:val="22"/>
        </w:rPr>
        <w:t>(a ser preenchida em papel timbrado da proponente</w:t>
      </w:r>
      <w:r>
        <w:rPr>
          <w:rFonts w:hint="default" w:ascii="Arial" w:hAnsi="Arial" w:cs="Arial"/>
          <w:sz w:val="22"/>
          <w:szCs w:val="22"/>
          <w:lang w:val="pt-BR"/>
        </w:rPr>
        <w:t>)</w:t>
      </w:r>
    </w:p>
    <w:p>
      <w:pPr>
        <w:pStyle w:val="6"/>
        <w:spacing w:before="11"/>
        <w:rPr>
          <w:rFonts w:hint="default" w:ascii="Arial" w:hAnsi="Arial" w:cs="Arial"/>
          <w:b/>
          <w:sz w:val="22"/>
          <w:szCs w:val="22"/>
        </w:rPr>
      </w:pPr>
    </w:p>
    <w:p>
      <w:pPr>
        <w:pStyle w:val="6"/>
        <w:spacing w:before="11"/>
        <w:rPr>
          <w:rFonts w:hint="default" w:ascii="Arial" w:hAnsi="Arial" w:cs="Arial"/>
          <w:b/>
          <w:sz w:val="22"/>
          <w:szCs w:val="22"/>
        </w:rPr>
      </w:pPr>
      <w:r>
        <w:rPr>
          <w:rFonts w:hint="default" w:ascii="Arial" w:hAnsi="Arial" w:cs="Arial"/>
          <w:b/>
          <w:sz w:val="22"/>
          <w:szCs w:val="22"/>
        </w:rPr>
        <w:t>A</w:t>
      </w:r>
    </w:p>
    <w:p>
      <w:pPr>
        <w:pStyle w:val="6"/>
        <w:spacing w:before="11"/>
        <w:rPr>
          <w:rFonts w:hint="default" w:ascii="Arial" w:hAnsi="Arial" w:cs="Arial"/>
          <w:b/>
          <w:sz w:val="22"/>
          <w:szCs w:val="22"/>
        </w:rPr>
      </w:pPr>
      <w:r>
        <w:rPr>
          <w:rFonts w:hint="default" w:ascii="Arial" w:hAnsi="Arial" w:cs="Arial"/>
          <w:b/>
          <w:sz w:val="22"/>
          <w:szCs w:val="22"/>
        </w:rPr>
        <w:t>COMPANHIA DE DESENVOLVIMENTO DE NOVA ODESSA – CODEN.</w:t>
      </w:r>
    </w:p>
    <w:p>
      <w:pPr>
        <w:pStyle w:val="6"/>
        <w:spacing w:before="11"/>
        <w:rPr>
          <w:rFonts w:hint="default" w:ascii="Arial" w:hAnsi="Arial" w:cs="Arial"/>
          <w:b/>
          <w:sz w:val="22"/>
          <w:szCs w:val="22"/>
        </w:rPr>
      </w:pPr>
      <w:r>
        <w:rPr>
          <w:rFonts w:hint="default" w:ascii="Arial" w:hAnsi="Arial" w:cs="Arial"/>
          <w:b/>
          <w:sz w:val="22"/>
          <w:szCs w:val="22"/>
        </w:rPr>
        <w:t>COMISSÃO</w:t>
      </w:r>
      <w:r>
        <w:rPr>
          <w:rFonts w:hint="default" w:ascii="Arial" w:hAnsi="Arial" w:cs="Arial"/>
          <w:b/>
          <w:sz w:val="22"/>
          <w:szCs w:val="22"/>
          <w:lang w:val="pt-BR"/>
        </w:rPr>
        <w:t xml:space="preserve"> </w:t>
      </w:r>
      <w:r>
        <w:rPr>
          <w:rFonts w:hint="default" w:ascii="Arial" w:hAnsi="Arial" w:cs="Arial"/>
          <w:b/>
          <w:sz w:val="22"/>
          <w:szCs w:val="22"/>
        </w:rPr>
        <w:t>PERMANENTE DE LICITAÇÃO.</w:t>
      </w:r>
    </w:p>
    <w:p>
      <w:pPr>
        <w:pStyle w:val="6"/>
        <w:spacing w:before="11"/>
        <w:rPr>
          <w:rFonts w:hint="default" w:ascii="Arial" w:hAnsi="Arial" w:cs="Arial"/>
          <w:b/>
          <w:sz w:val="22"/>
          <w:szCs w:val="22"/>
        </w:rPr>
      </w:pPr>
      <w:r>
        <w:rPr>
          <w:rFonts w:hint="default" w:ascii="Arial" w:hAnsi="Arial" w:cs="Arial"/>
          <w:b/>
          <w:sz w:val="22"/>
          <w:szCs w:val="22"/>
        </w:rPr>
        <w:t>Rua Eduardo Leekning, 550, Jd Bela Vista</w:t>
      </w:r>
    </w:p>
    <w:p>
      <w:pPr>
        <w:pStyle w:val="6"/>
        <w:spacing w:before="11"/>
        <w:rPr>
          <w:rFonts w:hint="default" w:ascii="Arial" w:hAnsi="Arial" w:cs="Arial"/>
          <w:b/>
          <w:sz w:val="22"/>
          <w:szCs w:val="22"/>
        </w:rPr>
      </w:pPr>
      <w:r>
        <w:rPr>
          <w:rFonts w:hint="default" w:ascii="Arial" w:hAnsi="Arial" w:cs="Arial"/>
          <w:b/>
          <w:sz w:val="22"/>
          <w:szCs w:val="22"/>
        </w:rPr>
        <w:t>Nova Odessa - São Paulo</w:t>
      </w:r>
    </w:p>
    <w:p>
      <w:pPr>
        <w:pStyle w:val="6"/>
        <w:spacing w:before="11"/>
        <w:rPr>
          <w:rFonts w:hint="default" w:ascii="Arial" w:hAnsi="Arial" w:cs="Arial"/>
          <w:b/>
          <w:sz w:val="22"/>
          <w:szCs w:val="22"/>
        </w:rPr>
      </w:pPr>
    </w:p>
    <w:p>
      <w:pPr>
        <w:pStyle w:val="6"/>
        <w:spacing w:before="11"/>
        <w:rPr>
          <w:rFonts w:hint="default" w:ascii="Arial" w:hAnsi="Arial" w:cs="Arial"/>
          <w:b/>
          <w:sz w:val="22"/>
          <w:szCs w:val="22"/>
        </w:rPr>
      </w:pPr>
    </w:p>
    <w:p>
      <w:pPr>
        <w:pStyle w:val="21"/>
        <w:widowControl/>
        <w:rPr>
          <w:rFonts w:hint="default" w:ascii="Arial" w:hAnsi="Arial" w:cs="Arial"/>
          <w:b/>
          <w:bCs/>
          <w:sz w:val="22"/>
          <w:szCs w:val="22"/>
          <w:lang w:val="pt-BR"/>
        </w:rPr>
      </w:pPr>
      <w:r>
        <w:rPr>
          <w:rFonts w:hint="default" w:ascii="Arial" w:hAnsi="Arial" w:cs="Arial"/>
          <w:b/>
          <w:bCs/>
          <w:sz w:val="22"/>
          <w:szCs w:val="22"/>
        </w:rPr>
        <w:t xml:space="preserve">OBJETO: </w:t>
      </w:r>
      <w:r>
        <w:rPr>
          <w:rFonts w:ascii="Arial" w:hAnsi="Arial" w:cs="Arial"/>
          <w:b/>
          <w:bCs/>
          <w:color w:val="000000" w:themeColor="text1"/>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pStyle w:val="6"/>
        <w:spacing w:before="11"/>
        <w:rPr>
          <w:rFonts w:hint="default" w:ascii="Arial" w:hAnsi="Arial" w:cs="Arial"/>
          <w:b/>
          <w:sz w:val="22"/>
          <w:szCs w:val="22"/>
        </w:rPr>
      </w:pPr>
    </w:p>
    <w:p>
      <w:pPr>
        <w:pStyle w:val="6"/>
        <w:spacing w:before="11"/>
        <w:rPr>
          <w:rFonts w:hint="default" w:ascii="Arial" w:hAnsi="Arial" w:cs="Arial"/>
          <w:b/>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PREZADOS SENHORES:</w:t>
      </w:r>
    </w:p>
    <w:p>
      <w:pPr>
        <w:numPr>
          <w:ilvl w:val="0"/>
          <w:numId w:val="0"/>
        </w:numPr>
        <w:jc w:val="both"/>
        <w:rPr>
          <w:rFonts w:hint="default" w:ascii="Arial" w:hAnsi="Arial" w:cs="Arial"/>
          <w:sz w:val="22"/>
          <w:szCs w:val="22"/>
        </w:rPr>
      </w:pPr>
      <w:r>
        <w:rPr>
          <w:rFonts w:hint="default" w:ascii="Arial" w:hAnsi="Arial" w:cs="Arial"/>
          <w:sz w:val="22"/>
          <w:szCs w:val="22"/>
        </w:rPr>
        <w:t>Apresentamos e submetemos à apreciação de Vs. Sas., nossa Proposta de Preços relativa à licitação em referência, assumindo inteira responsabilidade por quaisquer erros ou omissões que venham a ser verificados na sua preparação.</w:t>
      </w:r>
    </w:p>
    <w:p>
      <w:pPr>
        <w:numPr>
          <w:ilvl w:val="0"/>
          <w:numId w:val="0"/>
        </w:numPr>
        <w:jc w:val="both"/>
        <w:rPr>
          <w:rFonts w:hint="default" w:ascii="Arial" w:hAnsi="Arial" w:cs="Arial"/>
          <w:b/>
          <w:bCs/>
          <w:sz w:val="22"/>
          <w:szCs w:val="22"/>
        </w:rPr>
      </w:pPr>
    </w:p>
    <w:p>
      <w:pPr>
        <w:numPr>
          <w:ilvl w:val="0"/>
          <w:numId w:val="0"/>
        </w:numPr>
        <w:jc w:val="center"/>
        <w:rPr>
          <w:rFonts w:hint="default" w:cs="Arial"/>
          <w:b/>
          <w:bCs/>
          <w:sz w:val="22"/>
          <w:szCs w:val="22"/>
          <w:lang w:val="pt-BR"/>
        </w:rPr>
      </w:pPr>
      <w:r>
        <w:rPr>
          <w:rFonts w:hint="default" w:cs="Arial"/>
          <w:b/>
          <w:bCs/>
          <w:sz w:val="22"/>
          <w:szCs w:val="22"/>
          <w:lang w:val="pt-BR"/>
        </w:rPr>
        <w:t>DESCRIÇÃO DA PROPOSTA</w:t>
      </w:r>
    </w:p>
    <w:p>
      <w:pPr>
        <w:numPr>
          <w:ilvl w:val="0"/>
          <w:numId w:val="0"/>
        </w:numPr>
        <w:jc w:val="center"/>
        <w:rPr>
          <w:rFonts w:hint="default" w:cs="Arial"/>
          <w:b/>
          <w:bCs/>
          <w:sz w:val="22"/>
          <w:szCs w:val="22"/>
          <w:lang w:val="pt-BR"/>
        </w:rPr>
      </w:pPr>
    </w:p>
    <w:tbl>
      <w:tblPr>
        <w:tblStyle w:val="18"/>
        <w:tblW w:w="10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0"/>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020" w:type="dxa"/>
            <w:vMerge w:val="restart"/>
          </w:tcPr>
          <w:p>
            <w:pPr>
              <w:numPr>
                <w:ilvl w:val="0"/>
                <w:numId w:val="0"/>
              </w:numPr>
              <w:jc w:val="both"/>
              <w:rPr>
                <w:rFonts w:hint="default" w:cs="Arial"/>
                <w:b/>
                <w:bCs/>
                <w:sz w:val="22"/>
                <w:szCs w:val="22"/>
                <w:vertAlign w:val="baseline"/>
                <w:lang w:val="pt-BR"/>
              </w:rPr>
            </w:pPr>
            <w:r>
              <w:rPr>
                <w:rFonts w:hint="default" w:cs="Arial"/>
                <w:b/>
                <w:bCs/>
                <w:sz w:val="22"/>
                <w:szCs w:val="22"/>
                <w:vertAlign w:val="baseline"/>
                <w:lang w:val="pt-BR"/>
              </w:rPr>
              <w:t>Lote Único</w:t>
            </w:r>
          </w:p>
          <w:p>
            <w:pPr>
              <w:numPr>
                <w:ilvl w:val="0"/>
                <w:numId w:val="0"/>
              </w:numPr>
              <w:jc w:val="both"/>
              <w:rPr>
                <w:rFonts w:hint="default" w:cs="Arial"/>
                <w:b/>
                <w:bCs/>
                <w:sz w:val="22"/>
                <w:szCs w:val="22"/>
                <w:vertAlign w:val="baseline"/>
                <w:lang w:val="pt-BR"/>
              </w:rPr>
            </w:pPr>
          </w:p>
          <w:p>
            <w:pPr>
              <w:numPr>
                <w:ilvl w:val="0"/>
                <w:numId w:val="0"/>
              </w:numPr>
              <w:jc w:val="both"/>
              <w:rPr>
                <w:rFonts w:hint="default" w:cs="Arial"/>
                <w:b/>
                <w:bCs/>
                <w:color w:val="000000" w:themeColor="text1"/>
                <w:sz w:val="22"/>
                <w:szCs w:val="22"/>
                <w:vertAlign w:val="baseline"/>
                <w:lang w:val="pt-BR"/>
                <w14:textFill>
                  <w14:solidFill>
                    <w14:schemeClr w14:val="tx1"/>
                  </w14:solidFill>
                </w14:textFill>
              </w:rPr>
            </w:pPr>
            <w:r>
              <w:rPr>
                <w:rFonts w:cs="Arial"/>
                <w:b/>
                <w:bCs/>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numPr>
                <w:ilvl w:val="0"/>
                <w:numId w:val="0"/>
              </w:numPr>
              <w:jc w:val="both"/>
              <w:rPr>
                <w:rFonts w:hint="default" w:cs="Arial"/>
                <w:b/>
                <w:bCs/>
                <w:sz w:val="22"/>
                <w:szCs w:val="22"/>
                <w:vertAlign w:val="baseline"/>
                <w:lang w:val="pt-BR"/>
              </w:rPr>
            </w:pPr>
          </w:p>
        </w:tc>
        <w:tc>
          <w:tcPr>
            <w:tcW w:w="5020" w:type="dxa"/>
          </w:tcPr>
          <w:p>
            <w:pPr>
              <w:numPr>
                <w:ilvl w:val="0"/>
                <w:numId w:val="0"/>
              </w:numPr>
              <w:jc w:val="center"/>
              <w:rPr>
                <w:rFonts w:hint="default" w:ascii="Arial" w:hAnsi="Arial" w:cs="Arial"/>
                <w:b/>
                <w:bCs/>
                <w:sz w:val="22"/>
                <w:szCs w:val="22"/>
                <w:vertAlign w:val="baseline"/>
              </w:rPr>
            </w:pPr>
            <w:r>
              <w:rPr>
                <w:rFonts w:hint="default" w:cs="Arial"/>
                <w:b/>
                <w:bCs/>
                <w:sz w:val="22"/>
                <w:szCs w:val="22"/>
                <w:vertAlign w:val="baseline"/>
                <w:lang w:val="pt-BR"/>
              </w:rPr>
              <w:t>Valor Global do Lote</w:t>
            </w:r>
          </w:p>
          <w:p>
            <w:pPr>
              <w:numPr>
                <w:ilvl w:val="0"/>
                <w:numId w:val="0"/>
              </w:numPr>
              <w:jc w:val="both"/>
              <w:rPr>
                <w:rFonts w:hint="default" w:ascii="Arial" w:hAnsi="Arial" w:cs="Arial"/>
                <w:b/>
                <w:bCs/>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5020" w:type="dxa"/>
            <w:vMerge w:val="continue"/>
          </w:tcPr>
          <w:p>
            <w:pPr>
              <w:numPr>
                <w:ilvl w:val="0"/>
                <w:numId w:val="0"/>
              </w:numPr>
              <w:jc w:val="both"/>
              <w:rPr>
                <w:rFonts w:hint="default" w:ascii="Arial" w:hAnsi="Arial" w:cs="Arial"/>
                <w:b/>
                <w:bCs/>
                <w:sz w:val="22"/>
                <w:szCs w:val="22"/>
                <w:vertAlign w:val="baseline"/>
              </w:rPr>
            </w:pPr>
          </w:p>
        </w:tc>
        <w:tc>
          <w:tcPr>
            <w:tcW w:w="5020" w:type="dxa"/>
          </w:tcPr>
          <w:p>
            <w:pPr>
              <w:numPr>
                <w:ilvl w:val="0"/>
                <w:numId w:val="0"/>
              </w:numPr>
              <w:jc w:val="both"/>
              <w:rPr>
                <w:rFonts w:hint="default" w:ascii="Arial" w:hAnsi="Arial" w:cs="Arial"/>
                <w:b/>
                <w:bCs/>
                <w:sz w:val="22"/>
                <w:szCs w:val="22"/>
                <w:lang w:val="pt-BR"/>
              </w:rPr>
            </w:pPr>
            <w:r>
              <w:rPr>
                <w:rFonts w:hint="default" w:ascii="Arial" w:hAnsi="Arial" w:cs="Arial"/>
                <w:b/>
                <w:bCs/>
                <w:sz w:val="22"/>
                <w:szCs w:val="22"/>
              </w:rPr>
              <w:t>O valor global de nossa proposta é de R$..</w:t>
            </w:r>
            <w:r>
              <w:rPr>
                <w:rFonts w:hint="default" w:ascii="Arial" w:hAnsi="Arial" w:cs="Arial"/>
                <w:b/>
                <w:bCs/>
                <w:sz w:val="22"/>
                <w:szCs w:val="22"/>
                <w:lang w:val="pt-BR"/>
              </w:rPr>
              <w:t>..................................................................</w:t>
            </w:r>
            <w:r>
              <w:rPr>
                <w:rFonts w:hint="default" w:ascii="Arial" w:hAnsi="Arial" w:cs="Arial"/>
                <w:b/>
                <w:bCs/>
                <w:sz w:val="22"/>
                <w:szCs w:val="22"/>
              </w:rPr>
              <w:t xml:space="preserve"> (valor por extenso)</w:t>
            </w:r>
            <w:r>
              <w:rPr>
                <w:rFonts w:hint="default" w:cs="Arial"/>
                <w:b/>
                <w:bCs/>
                <w:sz w:val="22"/>
                <w:szCs w:val="22"/>
                <w:lang w:val="pt-BR"/>
              </w:rPr>
              <w:t xml:space="preserve">. </w:t>
            </w:r>
          </w:p>
          <w:p>
            <w:pPr>
              <w:numPr>
                <w:ilvl w:val="0"/>
                <w:numId w:val="0"/>
              </w:numPr>
              <w:jc w:val="both"/>
              <w:rPr>
                <w:rFonts w:hint="default" w:ascii="Arial" w:hAnsi="Arial" w:cs="Arial"/>
                <w:b/>
                <w:bCs/>
                <w:sz w:val="22"/>
                <w:szCs w:val="22"/>
                <w:vertAlign w:val="baseline"/>
              </w:rPr>
            </w:pPr>
          </w:p>
        </w:tc>
      </w:tr>
    </w:tbl>
    <w:p>
      <w:pPr>
        <w:numPr>
          <w:ilvl w:val="0"/>
          <w:numId w:val="0"/>
        </w:numPr>
        <w:jc w:val="both"/>
        <w:rPr>
          <w:rFonts w:hint="default" w:ascii="Arial" w:hAnsi="Arial" w:cs="Arial"/>
          <w:b/>
          <w:bCs/>
          <w:sz w:val="22"/>
          <w:szCs w:val="22"/>
        </w:rPr>
      </w:pPr>
    </w:p>
    <w:p>
      <w:pPr>
        <w:pStyle w:val="22"/>
        <w:numPr>
          <w:ilvl w:val="0"/>
          <w:numId w:val="0"/>
        </w:numPr>
        <w:tabs>
          <w:tab w:val="left" w:pos="708"/>
          <w:tab w:val="clear" w:pos="567"/>
        </w:tabs>
        <w:rPr>
          <w:rFonts w:hint="default" w:ascii="Arial" w:hAnsi="Arial" w:cs="Arial"/>
          <w:sz w:val="22"/>
          <w:szCs w:val="22"/>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numPr>
          <w:ilvl w:val="0"/>
          <w:numId w:val="0"/>
        </w:numPr>
        <w:suppressAutoHyphens w:val="0"/>
        <w:ind w:leftChars="0" w:right="0" w:rightChars="0"/>
        <w:jc w:val="both"/>
        <w:rPr>
          <w:rFonts w:hint="default" w:ascii="Arial" w:hAnsi="Arial" w:cs="Arial"/>
          <w:sz w:val="22"/>
          <w:szCs w:val="22"/>
        </w:rPr>
      </w:pPr>
      <w:r>
        <w:rPr>
          <w:rFonts w:hint="default" w:cs="Arial"/>
          <w:sz w:val="22"/>
          <w:szCs w:val="22"/>
          <w:lang w:val="pt-BR"/>
        </w:rPr>
        <w:t>DECLARO</w:t>
      </w:r>
      <w:r>
        <w:rPr>
          <w:rFonts w:hint="default" w:ascii="Arial" w:hAnsi="Arial" w:cs="Arial"/>
          <w:sz w:val="22"/>
          <w:szCs w:val="22"/>
        </w:rPr>
        <w:t xml:space="preserve"> que os serviços objetivados serão executados dentro dos prazos previstos no edital.</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b/>
          <w:sz w:val="22"/>
          <w:szCs w:val="22"/>
        </w:rPr>
      </w:pPr>
    </w:p>
    <w:p>
      <w:pPr>
        <w:jc w:val="both"/>
        <w:rPr>
          <w:rFonts w:hint="default" w:ascii="Arial" w:hAnsi="Arial" w:cs="Arial"/>
          <w:b/>
          <w:sz w:val="22"/>
          <w:szCs w:val="22"/>
        </w:rPr>
      </w:pPr>
      <w:r>
        <w:rPr>
          <w:rFonts w:hint="default" w:ascii="Arial" w:hAnsi="Arial" w:cs="Arial"/>
          <w:b/>
          <w:sz w:val="22"/>
          <w:szCs w:val="22"/>
        </w:rPr>
        <w:t>DADOS PARA ELABORAÇÃO DE EVENTUAL CONTRATO:</w:t>
      </w:r>
    </w:p>
    <w:tbl>
      <w:tblPr>
        <w:tblStyle w:val="17"/>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sz w:val="22"/>
                <w:szCs w:val="22"/>
              </w:rPr>
            </w:pPr>
          </w:p>
          <w:p>
            <w:pPr>
              <w:jc w:val="both"/>
              <w:rPr>
                <w:rFonts w:hint="default" w:ascii="Arial" w:hAnsi="Arial" w:cs="Arial"/>
                <w:sz w:val="22"/>
                <w:szCs w:val="22"/>
              </w:rPr>
            </w:pPr>
            <w:r>
              <w:rPr>
                <w:rFonts w:hint="default" w:ascii="Arial" w:hAnsi="Arial" w:cs="Arial"/>
                <w:b/>
                <w:sz w:val="22"/>
                <w:szCs w:val="22"/>
              </w:rPr>
              <w:t>Da Empresa</w:t>
            </w:r>
          </w:p>
        </w:tc>
        <w:tc>
          <w:tcPr>
            <w:tcW w:w="284" w:type="dxa"/>
            <w:shd w:val="clear" w:color="auto" w:fill="auto"/>
            <w:vAlign w:val="top"/>
          </w:tcPr>
          <w:p>
            <w:pPr>
              <w:jc w:val="both"/>
              <w:rPr>
                <w:rFonts w:hint="default" w:ascii="Arial" w:hAnsi="Arial" w:cs="Arial"/>
                <w:sz w:val="22"/>
                <w:szCs w:val="22"/>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22"/>
              <w:tabs>
                <w:tab w:val="left" w:pos="708"/>
                <w:tab w:val="clear" w:pos="567"/>
              </w:tabs>
              <w:rPr>
                <w:rFonts w:hint="default" w:ascii="Arial" w:hAnsi="Arial" w:cs="Arial"/>
                <w:sz w:val="22"/>
                <w:szCs w:val="22"/>
              </w:rPr>
            </w:pPr>
            <w:r>
              <w:rPr>
                <w:rFonts w:hint="default" w:ascii="Arial" w:hAnsi="Arial" w:cs="Arial"/>
                <w:sz w:val="22"/>
                <w:szCs w:val="22"/>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b/>
                <w:sz w:val="22"/>
                <w:szCs w:val="22"/>
              </w:rPr>
            </w:pPr>
            <w:r>
              <w:rPr>
                <w:rFonts w:hint="default" w:ascii="Arial" w:hAnsi="Arial" w:cs="Arial"/>
                <w:sz w:val="22"/>
                <w:szCs w:val="22"/>
              </w:rPr>
              <w:t>Nome e endereço completo</w:t>
            </w:r>
          </w:p>
        </w:tc>
        <w:tc>
          <w:tcPr>
            <w:tcW w:w="284" w:type="dxa"/>
            <w:vAlign w:val="top"/>
          </w:tcPr>
          <w:p>
            <w:pPr>
              <w:jc w:val="both"/>
              <w:rPr>
                <w:rFonts w:hint="default" w:ascii="Arial" w:hAnsi="Arial" w:cs="Arial"/>
                <w:sz w:val="22"/>
                <w:szCs w:val="22"/>
              </w:rPr>
            </w:pPr>
          </w:p>
        </w:tc>
        <w:tc>
          <w:tcPr>
            <w:tcW w:w="4678" w:type="dxa"/>
            <w:tcBorders>
              <w:top w:val="single" w:color="auto" w:sz="6" w:space="0"/>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b/>
                <w:sz w:val="22"/>
                <w:szCs w:val="22"/>
              </w:rPr>
            </w:pPr>
            <w:r>
              <w:rPr>
                <w:rFonts w:hint="default" w:ascii="Arial" w:hAnsi="Arial" w:cs="Arial"/>
                <w:sz w:val="22"/>
                <w:szCs w:val="22"/>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Filial representante (se houver)</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CNPJ</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Inscrição Estadual</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Telefone - FAX</w:t>
            </w:r>
          </w:p>
        </w:tc>
        <w:tc>
          <w:tcPr>
            <w:tcW w:w="284" w:type="dxa"/>
            <w:vAlign w:val="top"/>
          </w:tcPr>
          <w:p>
            <w:p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sz w:val="22"/>
                <w:szCs w:val="22"/>
              </w:rPr>
            </w:pPr>
          </w:p>
        </w:tc>
        <w:tc>
          <w:tcPr>
            <w:tcW w:w="284" w:type="dxa"/>
            <w:vAlign w:val="top"/>
          </w:tcPr>
          <w:p>
            <w:pPr>
              <w:numPr>
                <w:ilvl w:val="0"/>
                <w:numId w:val="0"/>
              </w:numPr>
              <w:jc w:val="both"/>
              <w:rPr>
                <w:rFonts w:hint="default" w:ascii="Arial" w:hAnsi="Arial" w:cs="Arial"/>
                <w:sz w:val="22"/>
                <w:szCs w:val="22"/>
              </w:rPr>
            </w:pPr>
          </w:p>
        </w:tc>
        <w:tc>
          <w:tcPr>
            <w:tcW w:w="4678" w:type="dxa"/>
            <w:tcBorders>
              <w:top w:val="nil"/>
              <w:left w:val="single" w:color="auto" w:sz="6" w:space="0"/>
              <w:bottom w:val="nil"/>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sz w:val="22"/>
                <w:szCs w:val="22"/>
              </w:rPr>
            </w:pPr>
          </w:p>
        </w:tc>
        <w:tc>
          <w:tcPr>
            <w:tcW w:w="284" w:type="dxa"/>
            <w:vAlign w:val="top"/>
          </w:tcPr>
          <w:p>
            <w:pPr>
              <w:numPr>
                <w:ilvl w:val="0"/>
                <w:numId w:val="0"/>
              </w:numPr>
              <w:jc w:val="both"/>
              <w:rPr>
                <w:rFonts w:hint="default" w:ascii="Arial" w:hAnsi="Arial" w:cs="Arial"/>
                <w:sz w:val="22"/>
                <w:szCs w:val="22"/>
              </w:rPr>
            </w:pPr>
          </w:p>
        </w:tc>
        <w:tc>
          <w:tcPr>
            <w:tcW w:w="4678" w:type="dxa"/>
            <w:tcBorders>
              <w:top w:val="nil"/>
              <w:left w:val="single" w:color="auto" w:sz="6" w:space="0"/>
              <w:bottom w:val="single" w:color="auto" w:sz="6" w:space="0"/>
              <w:right w:val="single" w:color="auto" w:sz="6" w:space="0"/>
            </w:tcBorders>
            <w:vAlign w:val="top"/>
          </w:tcPr>
          <w:p>
            <w:pPr>
              <w:numPr>
                <w:ilvl w:val="0"/>
                <w:numId w:val="45"/>
              </w:numPr>
              <w:suppressAutoHyphens w:val="0"/>
              <w:ind w:left="0" w:firstLine="0"/>
              <w:jc w:val="both"/>
              <w:rPr>
                <w:rFonts w:hint="default" w:ascii="Arial" w:hAnsi="Arial" w:cs="Arial"/>
                <w:sz w:val="22"/>
                <w:szCs w:val="22"/>
              </w:rPr>
            </w:pPr>
            <w:r>
              <w:rPr>
                <w:rFonts w:hint="default" w:ascii="Arial" w:hAnsi="Arial" w:cs="Arial"/>
                <w:sz w:val="22"/>
                <w:szCs w:val="22"/>
              </w:rPr>
              <w:t>CPF</w:t>
            </w:r>
          </w:p>
        </w:tc>
      </w:tr>
    </w:tbl>
    <w:p>
      <w:pPr>
        <w:jc w:val="both"/>
        <w:rPr>
          <w:rFonts w:hint="default" w:ascii="Arial" w:hAnsi="Arial" w:cs="Arial"/>
          <w:sz w:val="22"/>
          <w:szCs w:val="22"/>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_______________, _____ de __________________ de 2.019.</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Atenciosamente</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CARIMBO, NOME E ASSINATURA DO REPRESENTANTE LEGAL, CPF E RG.</w:t>
      </w: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COMISSÃO PER</w:t>
      </w:r>
      <w:r>
        <w:rPr>
          <w:rFonts w:hint="default" w:cs="Arial"/>
          <w:b/>
          <w:bCs/>
          <w:sz w:val="22"/>
          <w:szCs w:val="22"/>
          <w:lang w:val="pt-BR"/>
        </w:rPr>
        <w:t>M</w:t>
      </w:r>
      <w:r>
        <w:rPr>
          <w:rFonts w:hint="default" w:ascii="Arial" w:hAnsi="Arial" w:cs="Arial"/>
          <w:b/>
          <w:bCs/>
          <w:sz w:val="22"/>
          <w:szCs w:val="22"/>
        </w:rPr>
        <w:t>ANENTE DE LICITAÇÃO.</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b/>
          <w:bCs/>
          <w:sz w:val="22"/>
          <w:szCs w:val="22"/>
          <w:lang w:val="pt-BR"/>
        </w:rPr>
      </w:pPr>
      <w:r>
        <w:rPr>
          <w:rFonts w:hint="default" w:ascii="Arial" w:hAnsi="Arial" w:cs="Arial"/>
          <w:b/>
          <w:bCs/>
          <w:sz w:val="22"/>
          <w:szCs w:val="22"/>
        </w:rPr>
        <w:t>REFERÊNCIA: LICITAÇÃO</w:t>
      </w:r>
      <w:r>
        <w:rPr>
          <w:rFonts w:hint="default"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r>
        <w:rPr>
          <w:rFonts w:hint="default" w:cs="Arial"/>
          <w:b/>
          <w:bCs/>
          <w:sz w:val="22"/>
          <w:szCs w:val="22"/>
          <w:lang w:val="pt-BR"/>
        </w:rPr>
        <w:t xml:space="preserve">-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ind w:left="0" w:leftChars="0" w:firstLine="0" w:firstLineChars="0"/>
        <w:jc w:val="both"/>
        <w:rPr>
          <w:rFonts w:hint="default" w:ascii="Arial" w:hAnsi="Arial" w:cs="Arial"/>
          <w:sz w:val="22"/>
          <w:szCs w:val="22"/>
          <w:lang w:val="pt-BR"/>
        </w:rPr>
      </w:pPr>
      <w:r>
        <w:rPr>
          <w:rFonts w:hint="default" w:ascii="Arial" w:hAnsi="Arial" w:cs="Arial"/>
          <w:sz w:val="22"/>
          <w:szCs w:val="22"/>
        </w:rPr>
        <w:t xml:space="preserve"> </w:t>
      </w:r>
    </w:p>
    <w:p>
      <w:pPr>
        <w:ind w:left="0" w:leftChars="0"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bCs/>
          <w:sz w:val="22"/>
          <w:szCs w:val="22"/>
        </w:rPr>
        <w:t>OBJETO</w:t>
      </w:r>
      <w:r>
        <w:rPr>
          <w:rFonts w:hint="default" w:ascii="Arial" w:hAnsi="Arial" w:cs="Arial"/>
          <w:sz w:val="22"/>
          <w:szCs w:val="22"/>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ind w:left="0" w:leftChars="0" w:firstLine="0" w:firstLineChars="0"/>
        <w:jc w:val="both"/>
        <w:rPr>
          <w:rFonts w:hint="default" w:ascii="Arial" w:hAnsi="Arial" w:cs="Arial"/>
          <w:sz w:val="22"/>
          <w:szCs w:val="22"/>
        </w:rPr>
      </w:pPr>
    </w:p>
    <w:p>
      <w:pPr>
        <w:pStyle w:val="6"/>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6"/>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6"/>
        <w:ind w:left="0" w:leftChars="0" w:right="48" w:rightChars="22" w:firstLine="0" w:firstLineChars="0"/>
        <w:jc w:val="both"/>
        <w:rPr>
          <w:rFonts w:hint="default" w:ascii="Arial" w:hAnsi="Arial" w:cs="Arial"/>
          <w:sz w:val="22"/>
          <w:szCs w:val="22"/>
          <w:lang w:val="pt-BR"/>
        </w:rPr>
      </w:pPr>
    </w:p>
    <w:p>
      <w:pPr>
        <w:pStyle w:val="6"/>
        <w:ind w:left="0" w:leftChars="0" w:firstLine="0" w:firstLineChars="0"/>
        <w:rPr>
          <w:rFonts w:hint="default" w:ascii="Arial" w:hAnsi="Arial" w:cs="Arial"/>
          <w:sz w:val="22"/>
          <w:szCs w:val="22"/>
        </w:rPr>
      </w:pPr>
    </w:p>
    <w:p>
      <w:pPr>
        <w:pStyle w:val="6"/>
        <w:ind w:left="0" w:leftChars="0" w:firstLine="0" w:firstLineChars="0"/>
        <w:rPr>
          <w:rFonts w:hint="default" w:ascii="Arial" w:hAnsi="Arial" w:cs="Arial"/>
          <w:sz w:val="22"/>
          <w:szCs w:val="22"/>
        </w:rPr>
      </w:pPr>
    </w:p>
    <w:p>
      <w:pPr>
        <w:pStyle w:val="6"/>
        <w:ind w:left="0" w:leftChars="0" w:firstLine="0" w:firstLineChars="0"/>
        <w:jc w:val="left"/>
        <w:rPr>
          <w:rFonts w:hint="default" w:ascii="Arial" w:hAnsi="Arial" w:cs="Arial"/>
          <w:sz w:val="22"/>
          <w:szCs w:val="22"/>
        </w:rPr>
      </w:pPr>
    </w:p>
    <w:p>
      <w:pPr>
        <w:wordWrap/>
        <w:spacing w:before="92" w:line="240" w:lineRule="auto"/>
        <w:ind w:left="0" w:leftChars="0" w:right="50" w:rightChars="0" w:firstLine="0" w:firstLineChars="0"/>
        <w:jc w:val="left"/>
        <w:rPr>
          <w:rFonts w:hint="default" w:cs="Arial"/>
          <w:b w:val="0"/>
          <w:bCs/>
          <w:sz w:val="22"/>
          <w:szCs w:val="22"/>
          <w:lang w:val="pt-BR"/>
        </w:rPr>
      </w:pPr>
      <w:r>
        <w:rPr>
          <w:rFonts w:hint="default" w:cs="Arial"/>
          <w:b w:val="0"/>
          <w:bCs/>
          <w:sz w:val="22"/>
          <w:szCs w:val="22"/>
          <w:lang w:val="pt-BR"/>
        </w:rPr>
        <w:t>_______________, _____ de __________________ de 2.019.</w:t>
      </w:r>
    </w:p>
    <w:p>
      <w:pPr>
        <w:pStyle w:val="6"/>
        <w:ind w:left="0" w:leftChars="0" w:firstLine="0" w:firstLineChars="0"/>
        <w:jc w:val="left"/>
        <w:rPr>
          <w:rFonts w:hint="default" w:ascii="Arial" w:hAnsi="Arial" w:cs="Arial"/>
          <w:sz w:val="22"/>
          <w:szCs w:val="22"/>
        </w:rPr>
      </w:pPr>
    </w:p>
    <w:p>
      <w:pPr>
        <w:pStyle w:val="6"/>
        <w:spacing w:before="11"/>
        <w:ind w:left="0" w:leftChars="0" w:firstLine="0" w:firstLineChars="0"/>
        <w:jc w:val="left"/>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6"/>
        <w:spacing w:line="250" w:lineRule="exact"/>
        <w:ind w:left="0" w:leftChars="0" w:firstLine="1100" w:firstLineChars="500"/>
        <w:jc w:val="left"/>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jc w:val="left"/>
        <w:rPr>
          <w:rFonts w:hint="default" w:ascii="Arial" w:hAnsi="Arial" w:cs="Arial"/>
          <w:sz w:val="22"/>
          <w:szCs w:val="22"/>
        </w:rPr>
        <w:sectPr>
          <w:pgSz w:w="11910" w:h="16850"/>
          <w:pgMar w:top="2520" w:right="980" w:bottom="1200" w:left="980" w:header="709" w:footer="1007" w:gutter="0"/>
          <w:pgNumType w:fmt="decimal"/>
        </w:sectPr>
      </w:pPr>
    </w:p>
    <w:p>
      <w:pPr>
        <w:pStyle w:val="6"/>
        <w:spacing w:before="10"/>
        <w:ind w:left="0" w:leftChars="0" w:firstLine="0" w:firstLineChars="0"/>
        <w:rPr>
          <w:rFonts w:hint="default" w:ascii="Arial" w:hAnsi="Arial" w:cs="Arial"/>
          <w:sz w:val="22"/>
          <w:szCs w:val="22"/>
        </w:rPr>
      </w:pPr>
    </w:p>
    <w:p>
      <w:pPr>
        <w:ind w:left="0" w:leftChars="0" w:firstLine="0" w:firstLineChars="0"/>
        <w:jc w:val="center"/>
        <w:rPr>
          <w:rFonts w:hint="default" w:eastAsia="SimSun" w:cs="Arial"/>
          <w:b/>
          <w:bCs/>
          <w:sz w:val="22"/>
          <w:szCs w:val="22"/>
          <w:lang w:val="pt-BR"/>
        </w:rPr>
      </w:pPr>
      <w:bookmarkStart w:id="57" w:name="_TOC_250002"/>
      <w:bookmarkEnd w:id="57"/>
      <w:r>
        <w:rPr>
          <w:rFonts w:hint="default" w:ascii="Arial" w:hAnsi="Arial" w:eastAsia="SimSun" w:cs="Arial"/>
          <w:b/>
          <w:bCs/>
          <w:sz w:val="22"/>
          <w:szCs w:val="22"/>
        </w:rPr>
        <w:t>ANEXO VI</w:t>
      </w:r>
      <w:r>
        <w:rPr>
          <w:rFonts w:hint="default" w:eastAsia="SimSun" w:cs="Arial"/>
          <w:b/>
          <w:bCs/>
          <w:sz w:val="22"/>
          <w:szCs w:val="22"/>
          <w:lang w:val="pt-BR"/>
        </w:rPr>
        <w:t>I</w:t>
      </w:r>
    </w:p>
    <w:p>
      <w:pPr>
        <w:ind w:left="0" w:leftChars="0" w:firstLine="0" w:firstLineChars="0"/>
        <w:jc w:val="center"/>
        <w:rPr>
          <w:rFonts w:hint="default" w:eastAsia="SimSun" w:cs="Arial"/>
          <w:b/>
          <w:bCs/>
          <w:sz w:val="22"/>
          <w:szCs w:val="22"/>
          <w:lang w:val="pt-BR"/>
        </w:rPr>
      </w:pPr>
    </w:p>
    <w:p>
      <w:pPr>
        <w:ind w:left="0" w:leftChars="0" w:firstLine="0" w:firstLineChars="0"/>
        <w:jc w:val="center"/>
        <w:rPr>
          <w:rFonts w:hint="default" w:ascii="Arial" w:hAnsi="Arial" w:eastAsia="SimSun" w:cs="Arial"/>
          <w:b/>
          <w:bCs/>
          <w:sz w:val="22"/>
          <w:szCs w:val="22"/>
        </w:rPr>
      </w:pPr>
      <w:r>
        <w:rPr>
          <w:rFonts w:hint="default" w:ascii="Arial" w:hAnsi="Arial" w:eastAsia="SimSun" w:cs="Arial"/>
          <w:b/>
          <w:bCs/>
          <w:sz w:val="22"/>
          <w:szCs w:val="22"/>
        </w:rPr>
        <w:t>DECLARAÇÃO DE CONHECIMENTO PLENO DO LOCAL DE EXECUÇÃO DO OBJETO</w:t>
      </w:r>
    </w:p>
    <w:p>
      <w:pPr>
        <w:ind w:left="0" w:leftChars="0" w:firstLine="0" w:firstLineChars="0"/>
        <w:jc w:val="center"/>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p>
    <w:p>
      <w:pPr>
        <w:ind w:left="0" w:leftChars="0" w:firstLine="0" w:firstLineChars="0"/>
        <w:jc w:val="both"/>
        <w:rPr>
          <w:rFonts w:hint="default" w:ascii="Arial" w:hAnsi="Arial" w:eastAsia="SimSun" w:cs="Arial"/>
          <w:b/>
          <w:bCs/>
          <w:sz w:val="22"/>
          <w:szCs w:val="22"/>
        </w:rPr>
      </w:pPr>
      <w:r>
        <w:rPr>
          <w:rFonts w:hint="default" w:eastAsia="SimSun" w:cs="Arial"/>
          <w:b/>
          <w:bCs/>
          <w:sz w:val="22"/>
          <w:szCs w:val="22"/>
          <w:lang w:val="pt-BR"/>
        </w:rPr>
        <w:t xml:space="preserve">REFERÊNCIA: </w:t>
      </w:r>
      <w:r>
        <w:rPr>
          <w:rFonts w:hint="default" w:ascii="Arial" w:hAnsi="Arial" w:eastAsia="SimSun" w:cs="Arial"/>
          <w:b/>
          <w:bCs/>
          <w:sz w:val="22"/>
          <w:szCs w:val="22"/>
          <w:lang w:val="pt-BR"/>
        </w:rPr>
        <w:t xml:space="preserve">LICITAÇÃO PRESENCIAL N° </w:t>
      </w:r>
      <w:r>
        <w:rPr>
          <w:rFonts w:hint="default" w:eastAsia="SimSun" w:cs="Arial"/>
          <w:b/>
          <w:bCs/>
          <w:sz w:val="22"/>
          <w:szCs w:val="22"/>
          <w:lang w:val="pt-BR"/>
        </w:rPr>
        <w:t>0002</w:t>
      </w:r>
      <w:r>
        <w:rPr>
          <w:rFonts w:hint="default" w:ascii="Arial" w:hAnsi="Arial" w:eastAsia="SimSun" w:cs="Arial"/>
          <w:b/>
          <w:bCs/>
          <w:sz w:val="22"/>
          <w:szCs w:val="22"/>
          <w:lang w:val="pt-BR"/>
        </w:rPr>
        <w:t>/2019 - MODO DE DISPUTA ABERTO</w:t>
      </w:r>
    </w:p>
    <w:p>
      <w:pPr>
        <w:ind w:left="0" w:leftChars="0" w:firstLine="0" w:firstLineChars="0"/>
        <w:jc w:val="both"/>
        <w:rPr>
          <w:rFonts w:hint="default" w:ascii="Arial" w:hAnsi="Arial" w:eastAsia="SimSun" w:cs="Arial"/>
          <w:b/>
          <w:bCs/>
          <w:sz w:val="22"/>
          <w:szCs w:val="22"/>
        </w:rPr>
      </w:pPr>
    </w:p>
    <w:p>
      <w:pPr>
        <w:ind w:left="0" w:leftChars="0" w:firstLine="0" w:firstLineChars="0"/>
        <w:jc w:val="both"/>
        <w:rPr>
          <w:rFonts w:hint="default" w:eastAsia="SimSun" w:cs="Arial"/>
          <w:b/>
          <w:bCs/>
          <w:sz w:val="22"/>
          <w:szCs w:val="22"/>
          <w:lang w:val="pt-BR"/>
        </w:rPr>
      </w:pPr>
      <w:r>
        <w:rPr>
          <w:rFonts w:hint="default" w:eastAsia="SimSun" w:cs="Arial"/>
          <w:b/>
          <w:bCs/>
          <w:sz w:val="22"/>
          <w:szCs w:val="22"/>
          <w:lang w:val="pt-BR"/>
        </w:rPr>
        <w:t xml:space="preserve">Objeto: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ind w:left="0" w:leftChars="0" w:firstLine="0" w:firstLineChars="0"/>
        <w:jc w:val="both"/>
        <w:rPr>
          <w:rFonts w:hint="default" w:ascii="Arial" w:hAnsi="Arial" w:eastAsia="SimSun" w:cs="Arial"/>
          <w:b/>
          <w:bCs/>
          <w:sz w:val="22"/>
          <w:szCs w:val="22"/>
          <w:lang w:val="pt-BR"/>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b/>
          <w:bCs/>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b/>
          <w:bCs/>
          <w:sz w:val="22"/>
          <w:szCs w:val="22"/>
        </w:rPr>
        <w:t>DECLARAÇÃO</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A empresa __________________________________, CNPJ n.º ____________________, sediada ______________________________________ (endereço completo), por intermédio de seu representante legal o(a) Sr(a) _______________________, portador(a) da Carteira de Identidade nº ___________________e do CPF nº _________________, DECLARA, sob as penas da lei, em especial o art. 299 do Código Penal Brasileiro, e para fins do disposto no item que disciplina a VISITA TÉCNICA neste Edital, que está plenamente ciente:</w:t>
      </w:r>
    </w:p>
    <w:p>
      <w:pPr>
        <w:ind w:left="0" w:leftChars="0" w:firstLine="0" w:firstLineChars="0"/>
        <w:jc w:val="both"/>
        <w:rPr>
          <w:rFonts w:hint="default" w:ascii="Arial" w:hAnsi="Arial" w:eastAsia="SimSun" w:cs="Arial"/>
          <w:sz w:val="22"/>
          <w:szCs w:val="22"/>
        </w:rPr>
      </w:pPr>
    </w:p>
    <w:p>
      <w:pPr>
        <w:numPr>
          <w:ilvl w:val="0"/>
          <w:numId w:val="46"/>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das condições em que se encontra o local de execução do objeto da Licitação </w:t>
      </w:r>
      <w:r>
        <w:rPr>
          <w:rFonts w:hint="default" w:eastAsia="SimSun" w:cs="Arial"/>
          <w:sz w:val="22"/>
          <w:szCs w:val="22"/>
          <w:lang w:val="pt-BR"/>
        </w:rPr>
        <w:t xml:space="preserve">Presencial </w:t>
      </w:r>
      <w:r>
        <w:rPr>
          <w:rFonts w:hint="default" w:ascii="Arial" w:hAnsi="Arial" w:eastAsia="SimSun" w:cs="Arial"/>
          <w:sz w:val="22"/>
          <w:szCs w:val="22"/>
        </w:rPr>
        <w:t xml:space="preserve">n° </w:t>
      </w:r>
      <w:r>
        <w:rPr>
          <w:rFonts w:hint="default" w:eastAsia="SimSun" w:cs="Arial"/>
          <w:sz w:val="22"/>
          <w:szCs w:val="22"/>
          <w:lang w:val="pt-BR"/>
        </w:rPr>
        <w:t>0002</w:t>
      </w:r>
      <w:r>
        <w:rPr>
          <w:rFonts w:hint="default" w:ascii="Arial" w:hAnsi="Arial" w:eastAsia="SimSun" w:cs="Arial"/>
          <w:sz w:val="22"/>
          <w:szCs w:val="22"/>
        </w:rPr>
        <w:t>/201</w:t>
      </w:r>
      <w:r>
        <w:rPr>
          <w:rFonts w:hint="default" w:eastAsia="SimSun" w:cs="Arial"/>
          <w:sz w:val="22"/>
          <w:szCs w:val="22"/>
          <w:lang w:val="pt-BR"/>
        </w:rPr>
        <w:t>9</w:t>
      </w:r>
      <w:r>
        <w:rPr>
          <w:rFonts w:hint="default" w:ascii="Arial" w:hAnsi="Arial" w:eastAsia="SimSun" w:cs="Arial"/>
          <w:sz w:val="22"/>
          <w:szCs w:val="22"/>
        </w:rPr>
        <w:t>, bem como suas características e peculiaridades.</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46"/>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e de acordo de que não lhe será concedido o direito de reclamações e pleitos futuros, alegando desconhecimentos sobre o local de execução.</w:t>
      </w:r>
    </w:p>
    <w:p>
      <w:pPr>
        <w:numPr>
          <w:ilvl w:val="0"/>
          <w:numId w:val="0"/>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w:t>
      </w:r>
    </w:p>
    <w:p>
      <w:pPr>
        <w:numPr>
          <w:ilvl w:val="0"/>
          <w:numId w:val="46"/>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do teor e da extensão desta declaração e que detém plenos poderes e informações para firmá-la.</w:t>
      </w:r>
    </w:p>
    <w:p>
      <w:pPr>
        <w:numPr>
          <w:ilvl w:val="0"/>
          <w:numId w:val="0"/>
        </w:numPr>
        <w:ind w:leftChars="0" w:right="0" w:rightChars="0"/>
        <w:jc w:val="both"/>
        <w:rPr>
          <w:rFonts w:hint="default" w:ascii="Arial" w:hAnsi="Arial" w:eastAsia="SimSun" w:cs="Arial"/>
          <w:sz w:val="22"/>
          <w:szCs w:val="22"/>
        </w:rPr>
      </w:pPr>
    </w:p>
    <w:p>
      <w:pPr>
        <w:numPr>
          <w:ilvl w:val="0"/>
          <w:numId w:val="0"/>
        </w:numPr>
        <w:ind w:leftChars="0" w:right="0" w:rightChars="0"/>
        <w:jc w:val="both"/>
        <w:rPr>
          <w:rFonts w:hint="default" w:ascii="Arial" w:hAnsi="Arial" w:eastAsia="SimSun" w:cs="Arial"/>
          <w:sz w:val="22"/>
          <w:szCs w:val="22"/>
        </w:rPr>
      </w:pPr>
    </w:p>
    <w:p>
      <w:pPr>
        <w:numPr>
          <w:ilvl w:val="0"/>
          <w:numId w:val="0"/>
        </w:numPr>
        <w:ind w:leftChars="0" w:right="0" w:rightChars="0"/>
        <w:jc w:val="center"/>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lang w:val="pt-BR"/>
        </w:rPr>
      </w:pPr>
      <w:r>
        <w:rPr>
          <w:rFonts w:hint="default" w:ascii="Arial" w:hAnsi="Arial" w:eastAsia="SimSun" w:cs="Arial"/>
          <w:sz w:val="22"/>
          <w:szCs w:val="22"/>
          <w:lang w:val="pt-BR"/>
        </w:rPr>
        <w:t>_______________, _____ de __________________ de 2.019.</w:t>
      </w: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p>
    <w:p>
      <w:pPr>
        <w:ind w:left="0" w:leftChars="0" w:firstLine="0" w:firstLineChars="0"/>
        <w:jc w:val="center"/>
        <w:rPr>
          <w:rFonts w:hint="default" w:ascii="Arial" w:hAnsi="Arial" w:eastAsia="SimSun" w:cs="Arial"/>
          <w:sz w:val="22"/>
          <w:szCs w:val="22"/>
        </w:rPr>
      </w:pPr>
      <w:r>
        <w:rPr>
          <w:rFonts w:hint="default" w:ascii="Arial" w:hAnsi="Arial" w:eastAsia="SimSun" w:cs="Arial"/>
          <w:sz w:val="22"/>
          <w:szCs w:val="22"/>
        </w:rPr>
        <w:t xml:space="preserve">______________________________________________________________ </w:t>
      </w:r>
    </w:p>
    <w:p>
      <w:pPr>
        <w:ind w:left="0" w:leftChars="0" w:firstLine="0" w:firstLineChars="0"/>
        <w:jc w:val="center"/>
        <w:rPr>
          <w:rFonts w:hint="default" w:ascii="Arial" w:hAnsi="Arial" w:cs="Arial"/>
          <w:sz w:val="22"/>
          <w:szCs w:val="22"/>
        </w:rPr>
      </w:pPr>
      <w:r>
        <w:rPr>
          <w:rFonts w:hint="default" w:ascii="Arial" w:hAnsi="Arial" w:eastAsia="SimSun" w:cs="Arial"/>
          <w:sz w:val="22"/>
          <w:szCs w:val="22"/>
        </w:rPr>
        <w:t>Representante Legal</w:t>
      </w: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0" w:leftChars="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5880" w:leftChars="0" w:right="48" w:rightChars="22" w:firstLine="2287" w:firstLineChars="1039"/>
        <w:jc w:val="both"/>
        <w:rPr>
          <w:rFonts w:hint="default" w:ascii="Arial" w:hAnsi="Arial" w:cs="Arial"/>
          <w:sz w:val="22"/>
          <w:szCs w:val="22"/>
          <w:lang w:val="pt-BR"/>
        </w:rPr>
      </w:pPr>
      <w:r>
        <w:rPr>
          <w:rFonts w:hint="default" w:ascii="Arial" w:hAnsi="Arial" w:cs="Arial"/>
          <w:sz w:val="22"/>
          <w:szCs w:val="22"/>
        </w:rPr>
        <w:t>ANEXO VI</w:t>
      </w:r>
      <w:r>
        <w:rPr>
          <w:rFonts w:hint="default" w:ascii="Arial" w:hAnsi="Arial" w:cs="Arial"/>
          <w:sz w:val="22"/>
          <w:szCs w:val="22"/>
          <w:lang w:val="pt-BR"/>
        </w:rPr>
        <w:t>I</w:t>
      </w:r>
      <w:r>
        <w:rPr>
          <w:rFonts w:hint="default" w:cs="Arial"/>
          <w:sz w:val="22"/>
          <w:szCs w:val="22"/>
          <w:lang w:val="pt-BR"/>
        </w:rPr>
        <w:t>I</w:t>
      </w:r>
    </w:p>
    <w:p>
      <w:pPr>
        <w:pStyle w:val="6"/>
        <w:ind w:left="0" w:leftChars="0" w:right="48" w:rightChars="22" w:firstLine="0" w:firstLineChars="0"/>
        <w:jc w:val="center"/>
        <w:rPr>
          <w:rFonts w:hint="default" w:ascii="Arial" w:hAnsi="Arial" w:cs="Arial"/>
          <w:b/>
          <w:sz w:val="22"/>
          <w:szCs w:val="22"/>
        </w:rPr>
      </w:pPr>
    </w:p>
    <w:p>
      <w:pPr>
        <w:pStyle w:val="11"/>
        <w:spacing w:after="0"/>
        <w:ind w:left="0" w:leftChars="0" w:right="48" w:rightChars="22" w:firstLine="0" w:firstLineChars="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 ATESTADO DE VISITA TÉCNICA</w:t>
      </w:r>
    </w:p>
    <w:p>
      <w:pPr>
        <w:pStyle w:val="11"/>
        <w:spacing w:after="0"/>
        <w:ind w:left="0" w:leftChars="0" w:right="48" w:rightChars="22" w:firstLine="0" w:firstLineChars="0"/>
        <w:jc w:val="center"/>
        <w:rPr>
          <w:rFonts w:hint="default" w:ascii="Arial" w:hAnsi="Arial" w:cs="Arial"/>
          <w:b/>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rPr>
      </w:pPr>
    </w:p>
    <w:p>
      <w:pPr>
        <w:pStyle w:val="23"/>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3"/>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23"/>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3"/>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bCs/>
          <w:sz w:val="22"/>
          <w:szCs w:val="22"/>
        </w:rPr>
      </w:pPr>
      <w:r>
        <w:rPr>
          <w:rFonts w:hint="default" w:ascii="Arial" w:hAnsi="Arial" w:cs="Arial"/>
          <w:b/>
          <w:sz w:val="22"/>
          <w:szCs w:val="22"/>
        </w:rPr>
        <w:t xml:space="preserve">REFERÊNCIA: </w:t>
      </w:r>
      <w:r>
        <w:rPr>
          <w:rFonts w:hint="default" w:ascii="Arial" w:hAnsi="Arial" w:cs="Arial"/>
          <w:b/>
          <w:bCs/>
          <w:sz w:val="22"/>
          <w:szCs w:val="22"/>
        </w:rPr>
        <w:t>LICITAÇÃO</w:t>
      </w:r>
      <w:r>
        <w:rPr>
          <w:rFonts w:hint="default" w:ascii="Arial" w:hAnsi="Arial"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ascii="Arial" w:hAnsi="Arial"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numPr>
          <w:ilvl w:val="0"/>
          <w:numId w:val="0"/>
        </w:numPr>
        <w:tabs>
          <w:tab w:val="left" w:pos="1843"/>
        </w:tabs>
        <w:ind w:left="0" w:leftChars="0" w:right="48" w:rightChars="22" w:firstLine="0" w:firstLineChars="0"/>
        <w:jc w:val="both"/>
        <w:rPr>
          <w:rFonts w:hint="default" w:ascii="Arial" w:hAnsi="Arial" w:cs="Arial"/>
          <w:b/>
          <w:bCs/>
          <w:sz w:val="22"/>
          <w:szCs w:val="22"/>
        </w:rPr>
      </w:pPr>
    </w:p>
    <w:p>
      <w:pPr>
        <w:pStyle w:val="21"/>
        <w:widowControl/>
        <w:ind w:left="0" w:leftChars="0" w:right="48" w:rightChars="22" w:firstLine="0" w:firstLineChars="0"/>
        <w:jc w:val="both"/>
        <w:rPr>
          <w:rFonts w:hint="default" w:ascii="Arial" w:hAnsi="Arial" w:cs="Arial"/>
          <w:b/>
          <w:bCs/>
          <w:color w:val="000000" w:themeColor="text1"/>
          <w:sz w:val="22"/>
          <w:szCs w:val="22"/>
          <w:lang w:val="pt-BR"/>
          <w14:textFill>
            <w14:solidFill>
              <w14:schemeClr w14:val="tx1"/>
            </w14:solidFill>
          </w14:textFill>
        </w:rPr>
      </w:pPr>
      <w:r>
        <w:rPr>
          <w:rFonts w:hint="default" w:ascii="Arial" w:hAnsi="Arial" w:cs="Arial"/>
          <w:b/>
          <w:bCs/>
          <w:sz w:val="22"/>
          <w:szCs w:val="22"/>
        </w:rPr>
        <w:t>OBJETO:</w:t>
      </w:r>
      <w:r>
        <w:rPr>
          <w:rFonts w:hint="default" w:cs="Arial"/>
          <w:b/>
          <w:bCs/>
          <w:sz w:val="22"/>
          <w:szCs w:val="22"/>
          <w:lang w:val="pt-BR"/>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pStyle w:val="21"/>
        <w:widowControl/>
        <w:ind w:left="0" w:leftChars="0" w:right="48" w:rightChars="22" w:firstLine="0" w:firstLineChars="0"/>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 xml:space="preserve"> </w:t>
      </w:r>
    </w:p>
    <w:p>
      <w:pPr>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r>
        <w:rPr>
          <w:rFonts w:hint="default" w:ascii="Arial" w:hAnsi="Arial" w:cs="Arial"/>
          <w:sz w:val="22"/>
          <w:szCs w:val="22"/>
        </w:rPr>
        <w:t xml:space="preserve">Declaramos que, em cumprimento ao disposto no Edital de </w:t>
      </w:r>
      <w:r>
        <w:rPr>
          <w:rFonts w:hint="default" w:ascii="Arial" w:hAnsi="Arial" w:cs="Arial"/>
          <w:b/>
          <w:sz w:val="22"/>
          <w:szCs w:val="22"/>
          <w:lang w:val="pt-BR"/>
        </w:rPr>
        <w:t xml:space="preserve">Licitação </w:t>
      </w:r>
      <w:r>
        <w:rPr>
          <w:rFonts w:hint="default" w:cs="Arial"/>
          <w:b/>
          <w:sz w:val="22"/>
          <w:szCs w:val="22"/>
          <w:lang w:val="pt-BR"/>
        </w:rPr>
        <w:t xml:space="preserve">Presencial </w:t>
      </w:r>
      <w:r>
        <w:rPr>
          <w:rFonts w:hint="default" w:ascii="Arial" w:hAnsi="Arial" w:cs="Arial"/>
          <w:b/>
          <w:sz w:val="22"/>
          <w:szCs w:val="22"/>
        </w:rPr>
        <w:t xml:space="preserve">nº </w:t>
      </w:r>
      <w:r>
        <w:rPr>
          <w:rFonts w:hint="default" w:cs="Arial"/>
          <w:b/>
          <w:sz w:val="22"/>
          <w:szCs w:val="22"/>
          <w:lang w:val="pt-BR"/>
        </w:rPr>
        <w:t>0002</w:t>
      </w:r>
      <w:r>
        <w:rPr>
          <w:rFonts w:hint="default" w:ascii="Arial" w:hAnsi="Arial" w:cs="Arial"/>
          <w:b/>
          <w:sz w:val="22"/>
          <w:szCs w:val="22"/>
        </w:rPr>
        <w:t>/201</w:t>
      </w:r>
      <w:r>
        <w:rPr>
          <w:rFonts w:hint="default" w:cs="Arial"/>
          <w:b/>
          <w:sz w:val="22"/>
          <w:szCs w:val="22"/>
          <w:lang w:val="pt-BR"/>
        </w:rPr>
        <w:t xml:space="preserve">9 - </w:t>
      </w:r>
      <w:r>
        <w:rPr>
          <w:rFonts w:hint="default" w:ascii="Arial" w:hAnsi="Arial" w:cs="Arial"/>
          <w:b/>
          <w:sz w:val="22"/>
          <w:szCs w:val="22"/>
          <w:lang w:val="pt-BR"/>
        </w:rPr>
        <w:t>Modo de Disputa Aberto</w:t>
      </w:r>
      <w:r>
        <w:rPr>
          <w:rFonts w:hint="default" w:ascii="Arial" w:hAnsi="Arial" w:cs="Arial"/>
          <w:b/>
          <w:sz w:val="22"/>
          <w:szCs w:val="22"/>
        </w:rPr>
        <w:t xml:space="preserve">, </w:t>
      </w:r>
      <w:r>
        <w:rPr>
          <w:rFonts w:hint="default" w:ascii="Arial" w:hAnsi="Arial" w:cs="Arial"/>
          <w:sz w:val="22"/>
          <w:szCs w:val="22"/>
        </w:rPr>
        <w:t xml:space="preserve">a empresa </w:t>
      </w:r>
      <w:r>
        <w:rPr>
          <w:rFonts w:hint="default" w:ascii="Arial" w:hAnsi="Arial" w:cs="Arial"/>
          <w:b/>
          <w:sz w:val="22"/>
          <w:szCs w:val="22"/>
        </w:rPr>
        <w:t>(razão social)</w:t>
      </w:r>
      <w:r>
        <w:rPr>
          <w:rFonts w:hint="default" w:ascii="Arial" w:hAnsi="Arial" w:cs="Arial"/>
          <w:sz w:val="22"/>
          <w:szCs w:val="22"/>
        </w:rPr>
        <w:t xml:space="preserve">, inscrita no CNPJ sob o nº </w:t>
      </w:r>
      <w:r>
        <w:rPr>
          <w:rFonts w:hint="default" w:ascii="Arial" w:hAnsi="Arial" w:cs="Arial"/>
          <w:b/>
          <w:sz w:val="22"/>
          <w:szCs w:val="22"/>
        </w:rPr>
        <w:t>(...)</w:t>
      </w:r>
      <w:r>
        <w:rPr>
          <w:rFonts w:hint="default" w:ascii="Arial" w:hAnsi="Arial" w:cs="Arial"/>
          <w:sz w:val="22"/>
          <w:szCs w:val="22"/>
        </w:rPr>
        <w:t xml:space="preserve">, representada pelo (a) Sr (a). </w:t>
      </w:r>
      <w:r>
        <w:rPr>
          <w:rFonts w:hint="default" w:ascii="Arial" w:hAnsi="Arial" w:cs="Arial"/>
          <w:b/>
          <w:sz w:val="22"/>
          <w:szCs w:val="22"/>
        </w:rPr>
        <w:t>(nome completo)</w:t>
      </w:r>
      <w:r>
        <w:rPr>
          <w:rFonts w:hint="default" w:ascii="Arial" w:hAnsi="Arial" w:cs="Arial"/>
          <w:sz w:val="22"/>
          <w:szCs w:val="22"/>
        </w:rPr>
        <w:t xml:space="preserve">, portador (a) da Carteira de Identidade nº </w:t>
      </w:r>
      <w:r>
        <w:rPr>
          <w:rFonts w:hint="default" w:ascii="Arial" w:hAnsi="Arial" w:cs="Arial"/>
          <w:b/>
          <w:sz w:val="22"/>
          <w:szCs w:val="22"/>
        </w:rPr>
        <w:t>(...)</w:t>
      </w:r>
      <w:r>
        <w:rPr>
          <w:rFonts w:hint="default" w:ascii="Arial" w:hAnsi="Arial" w:cs="Arial"/>
          <w:sz w:val="22"/>
          <w:szCs w:val="22"/>
        </w:rPr>
        <w:t>, devidamente qualificado (a) como seu (sua) representante legal para os fins da presente declaração, que visitou o local, onde serão realizados os serviços e tomou conhecimento das condições e grau de dificuldades existentes para a execução dos trabalhos, objeto do procedimento licitatório em apreço.</w:t>
      </w: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lang w:val="pt-BR"/>
        </w:rPr>
      </w:pPr>
      <w:r>
        <w:rPr>
          <w:rFonts w:hint="default" w:ascii="Arial" w:hAnsi="Arial" w:cs="Arial"/>
          <w:sz w:val="22"/>
          <w:szCs w:val="22"/>
          <w:lang w:val="pt-BR"/>
        </w:rPr>
        <w:t>_______________, _____ de __________________ de 2.019.</w:t>
      </w: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NOME E ASSINATURA DO REPRESENTANTE LEGAL</w:t>
      </w: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Departamento Técnico - CODEN</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DATA:.............................................</w:t>
      </w:r>
    </w:p>
    <w:p>
      <w:pPr>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r>
        <w:rPr>
          <w:rFonts w:hint="default" w:ascii="Arial" w:hAnsi="Arial" w:cs="Arial"/>
          <w:b/>
          <w:sz w:val="22"/>
          <w:szCs w:val="22"/>
        </w:rPr>
        <w:t>ASSINATURA DO SERVIDOR E CARIMBO</w:t>
      </w: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tabs>
          <w:tab w:val="left" w:pos="288"/>
          <w:tab w:val="left" w:pos="1008"/>
          <w:tab w:val="left" w:pos="1728"/>
          <w:tab w:val="left" w:pos="2448"/>
          <w:tab w:val="left" w:pos="3168"/>
          <w:tab w:val="left" w:pos="3888"/>
          <w:tab w:val="left" w:pos="4608"/>
          <w:tab w:val="left" w:pos="5328"/>
          <w:tab w:val="left" w:pos="6048"/>
          <w:tab w:val="left" w:pos="6768"/>
        </w:tabs>
        <w:ind w:left="0" w:leftChars="0" w:right="48" w:rightChars="22" w:firstLine="0" w:firstLineChars="0"/>
        <w:jc w:val="both"/>
        <w:rPr>
          <w:rFonts w:hint="default" w:ascii="Arial" w:hAnsi="Arial" w:cs="Arial"/>
          <w:b/>
          <w:sz w:val="22"/>
          <w:szCs w:val="22"/>
          <w:u w:val="single"/>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6"/>
        <w:spacing w:before="10"/>
        <w:ind w:left="0" w:leftChars="0" w:right="48" w:rightChars="22" w:firstLine="0" w:firstLineChars="0"/>
        <w:jc w:val="both"/>
        <w:rPr>
          <w:rFonts w:hint="default" w:ascii="Arial" w:hAnsi="Arial" w:cs="Arial"/>
          <w:sz w:val="22"/>
          <w:szCs w:val="22"/>
        </w:rPr>
      </w:pPr>
    </w:p>
    <w:p>
      <w:pPr>
        <w:pStyle w:val="2"/>
        <w:spacing w:before="92"/>
        <w:ind w:left="2100" w:leftChars="0" w:right="48" w:rightChars="22" w:firstLine="2619" w:firstLineChars="1190"/>
        <w:jc w:val="both"/>
        <w:rPr>
          <w:rFonts w:hint="default" w:cs="Arial"/>
          <w:sz w:val="22"/>
          <w:szCs w:val="22"/>
          <w:lang w:val="pt-BR"/>
        </w:rPr>
      </w:pPr>
      <w:bookmarkStart w:id="58" w:name="_TOC_250001"/>
      <w:bookmarkEnd w:id="58"/>
      <w:r>
        <w:rPr>
          <w:rFonts w:hint="default" w:ascii="Arial" w:hAnsi="Arial" w:cs="Arial"/>
          <w:sz w:val="22"/>
          <w:szCs w:val="22"/>
        </w:rPr>
        <w:t xml:space="preserve">ANEXO </w:t>
      </w:r>
      <w:r>
        <w:rPr>
          <w:rFonts w:hint="default" w:cs="Arial"/>
          <w:sz w:val="22"/>
          <w:szCs w:val="22"/>
          <w:lang w:val="pt-BR"/>
        </w:rPr>
        <w:t xml:space="preserve">IX  </w:t>
      </w:r>
    </w:p>
    <w:p>
      <w:pPr>
        <w:rPr>
          <w:rFonts w:hint="default"/>
          <w:lang w:val="pt-BR"/>
        </w:rPr>
      </w:pP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w:t>
      </w:r>
      <w:r>
        <w:rPr>
          <w:rFonts w:hint="default" w:cs="Arial"/>
          <w:sz w:val="22"/>
          <w:szCs w:val="22"/>
          <w:lang w:val="pt-BR"/>
        </w:rPr>
        <w:t xml:space="preserve"> </w:t>
      </w:r>
      <w:r>
        <w:rPr>
          <w:rFonts w:hint="default" w:ascii="Arial" w:hAnsi="Arial" w:cs="Arial"/>
          <w:sz w:val="22"/>
          <w:szCs w:val="22"/>
        </w:rPr>
        <w:t>EMPRESA DE PEQUENO PORTE</w:t>
      </w:r>
    </w:p>
    <w:p>
      <w:pPr>
        <w:pStyle w:val="6"/>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COMISSÃO PER</w:t>
      </w:r>
      <w:r>
        <w:rPr>
          <w:rFonts w:hint="default" w:cs="Arial"/>
          <w:b/>
          <w:bCs/>
          <w:sz w:val="22"/>
          <w:szCs w:val="22"/>
          <w:lang w:val="pt-BR"/>
        </w:rPr>
        <w:t>M</w:t>
      </w:r>
      <w:r>
        <w:rPr>
          <w:rFonts w:hint="default" w:ascii="Arial" w:hAnsi="Arial" w:cs="Arial"/>
          <w:b/>
          <w:bCs/>
          <w:sz w:val="22"/>
          <w:szCs w:val="22"/>
        </w:rPr>
        <w:t>ANENTE DE LICITAÇÃO.</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REFERÊNCIA: LICITAÇÃO</w:t>
      </w:r>
      <w:r>
        <w:rPr>
          <w:rFonts w:hint="default" w:ascii="Arial" w:hAnsi="Arial"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ascii="Arial" w:hAnsi="Arial"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b/>
          <w:sz w:val="22"/>
          <w:szCs w:val="22"/>
        </w:rPr>
      </w:pPr>
    </w:p>
    <w:p>
      <w:pPr>
        <w:pStyle w:val="6"/>
        <w:ind w:left="0" w:leftChars="0" w:right="48" w:rightChars="22" w:firstLine="0" w:firstLineChars="0"/>
        <w:jc w:val="both"/>
        <w:rPr>
          <w:rFonts w:hint="default" w:ascii="Arial" w:hAnsi="Arial" w:cs="Arial"/>
          <w:b/>
          <w:sz w:val="22"/>
          <w:szCs w:val="22"/>
        </w:rPr>
      </w:pPr>
    </w:p>
    <w:p>
      <w:pPr>
        <w:pStyle w:val="6"/>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6"/>
        <w:ind w:left="0" w:leftChars="0" w:right="48" w:rightChars="22" w:firstLine="0" w:firstLineChars="0"/>
        <w:jc w:val="both"/>
        <w:rPr>
          <w:rFonts w:hint="default" w:ascii="Arial" w:hAnsi="Arial" w:cs="Arial"/>
          <w:sz w:val="22"/>
          <w:szCs w:val="22"/>
        </w:rPr>
      </w:pPr>
    </w:p>
    <w:p>
      <w:pPr>
        <w:pStyle w:val="6"/>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u w:val="none"/>
          <w:lang w:val="pt-BR"/>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u w:val="none"/>
        </w:rPr>
        <w:t>20</w:t>
      </w:r>
      <w:r>
        <w:rPr>
          <w:rFonts w:hint="default" w:cs="Arial"/>
          <w:sz w:val="22"/>
          <w:szCs w:val="22"/>
          <w:u w:val="none"/>
          <w:lang w:val="pt-BR"/>
        </w:rPr>
        <w:t>19.</w:t>
      </w:r>
    </w:p>
    <w:p>
      <w:pPr>
        <w:pStyle w:val="6"/>
        <w:ind w:left="0" w:leftChars="0" w:right="48" w:rightChars="22" w:firstLine="0" w:firstLineChars="0"/>
        <w:jc w:val="both"/>
        <w:rPr>
          <w:rFonts w:hint="default" w:ascii="Arial" w:hAnsi="Arial" w:cs="Arial"/>
          <w:sz w:val="22"/>
          <w:szCs w:val="22"/>
        </w:rPr>
      </w:pPr>
    </w:p>
    <w:p>
      <w:pPr>
        <w:pStyle w:val="6"/>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pStyle w:val="6"/>
        <w:spacing w:before="10"/>
        <w:rPr>
          <w:rFonts w:hint="default" w:cs="Arial"/>
          <w:b/>
          <w:bCs/>
          <w:color w:val="000000" w:themeColor="text1"/>
          <w:sz w:val="22"/>
          <w:szCs w:val="22"/>
          <w:lang w:val="pt-BR"/>
          <w14:textFill>
            <w14:solidFill>
              <w14:schemeClr w14:val="tx1"/>
            </w14:solidFill>
          </w14:textFill>
        </w:rPr>
      </w:pPr>
      <w:r>
        <w:rPr>
          <w:rFonts w:hint="default" w:ascii="Arial" w:hAnsi="Arial" w:cs="Arial"/>
          <w:b/>
          <w:bCs/>
          <w:color w:val="000000" w:themeColor="text1"/>
          <w:sz w:val="22"/>
          <w:szCs w:val="22"/>
          <w14:textFill>
            <w14:solidFill>
              <w14:schemeClr w14:val="tx1"/>
            </w14:solidFill>
          </w14:textFill>
        </w:rPr>
        <w:t xml:space="preserve">Observação: A empresa deverá apresentar  esta declaração </w:t>
      </w:r>
      <w:r>
        <w:rPr>
          <w:rFonts w:hint="default" w:cs="Arial"/>
          <w:b/>
          <w:bCs/>
          <w:color w:val="000000" w:themeColor="text1"/>
          <w:sz w:val="22"/>
          <w:szCs w:val="22"/>
          <w:lang w:val="pt-BR"/>
          <w14:textFill>
            <w14:solidFill>
              <w14:schemeClr w14:val="tx1"/>
            </w14:solidFill>
          </w14:textFill>
        </w:rPr>
        <w:t>fora dos envelopes de propostas e habilitação.</w:t>
      </w:r>
    </w:p>
    <w:p>
      <w:pPr>
        <w:pStyle w:val="6"/>
        <w:spacing w:before="10"/>
        <w:rPr>
          <w:rFonts w:hint="default" w:cs="Arial"/>
          <w:b/>
          <w:bCs/>
          <w:color w:val="FF0000"/>
          <w:sz w:val="22"/>
          <w:szCs w:val="22"/>
          <w:lang w:val="pt-BR"/>
        </w:rPr>
      </w:pPr>
    </w:p>
    <w:p>
      <w:pPr>
        <w:pStyle w:val="6"/>
        <w:spacing w:before="10"/>
        <w:rPr>
          <w:rFonts w:hint="default" w:cs="Arial"/>
          <w:b/>
          <w:bCs/>
          <w:color w:val="FF0000"/>
          <w:sz w:val="22"/>
          <w:szCs w:val="22"/>
          <w:lang w:val="pt-BR"/>
        </w:rPr>
      </w:pPr>
    </w:p>
    <w:p>
      <w:pPr>
        <w:pStyle w:val="6"/>
        <w:spacing w:before="10"/>
        <w:rPr>
          <w:rFonts w:hint="default" w:cs="Arial"/>
          <w:b/>
          <w:bCs/>
          <w:color w:val="FF0000"/>
          <w:sz w:val="22"/>
          <w:szCs w:val="22"/>
          <w:lang w:val="pt-BR"/>
        </w:rPr>
      </w:pPr>
    </w:p>
    <w:p>
      <w:pPr>
        <w:pStyle w:val="6"/>
        <w:spacing w:before="10"/>
        <w:rPr>
          <w:rFonts w:hint="default" w:cs="Arial"/>
          <w:b/>
          <w:bCs/>
          <w:color w:val="FF0000"/>
          <w:sz w:val="22"/>
          <w:szCs w:val="22"/>
          <w:lang w:val="pt-BR"/>
        </w:rPr>
      </w:pPr>
    </w:p>
    <w:p>
      <w:pPr>
        <w:pStyle w:val="2"/>
        <w:spacing w:before="92"/>
        <w:ind w:left="775" w:right="50" w:rightChars="0" w:firstLine="2531" w:firstLineChars="1150"/>
        <w:jc w:val="both"/>
        <w:rPr>
          <w:rFonts w:hint="default" w:ascii="Arial" w:hAnsi="Arial" w:cs="Arial"/>
          <w:sz w:val="22"/>
          <w:szCs w:val="22"/>
        </w:rPr>
      </w:pPr>
      <w:bookmarkStart w:id="59" w:name="_TOC_250000"/>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pStyle w:val="2"/>
        <w:spacing w:before="92"/>
        <w:ind w:left="218" w:leftChars="99" w:right="50" w:rightChars="0" w:firstLine="2624" w:firstLineChars="1192"/>
        <w:jc w:val="both"/>
        <w:rPr>
          <w:rFonts w:hint="default" w:ascii="Arial" w:hAnsi="Arial" w:cs="Arial"/>
          <w:sz w:val="22"/>
          <w:szCs w:val="22"/>
          <w:lang w:val="pt-BR"/>
        </w:rPr>
      </w:pPr>
      <w:r>
        <w:rPr>
          <w:rFonts w:hint="default" w:ascii="Arial" w:hAnsi="Arial" w:cs="Arial"/>
          <w:sz w:val="22"/>
          <w:szCs w:val="22"/>
        </w:rPr>
        <w:t xml:space="preserve">ANEXO </w:t>
      </w:r>
      <w:r>
        <w:rPr>
          <w:rFonts w:hint="default" w:ascii="Arial" w:hAnsi="Arial" w:cs="Arial"/>
          <w:sz w:val="22"/>
          <w:szCs w:val="22"/>
          <w:lang w:val="pt-BR"/>
        </w:rPr>
        <w:t>X</w:t>
      </w:r>
      <w:bookmarkEnd w:id="59"/>
    </w:p>
    <w:p>
      <w:pPr>
        <w:pStyle w:val="2"/>
        <w:spacing w:before="92"/>
        <w:ind w:left="13" w:leftChars="0" w:right="50" w:rightChars="0" w:hanging="13" w:hangingChars="6"/>
        <w:jc w:val="center"/>
        <w:rPr>
          <w:rFonts w:hint="default" w:ascii="Arial" w:hAnsi="Arial" w:cs="Arial"/>
          <w:sz w:val="22"/>
          <w:szCs w:val="22"/>
          <w:lang w:val="pt-BR"/>
        </w:rPr>
      </w:pPr>
    </w:p>
    <w:p>
      <w:pPr>
        <w:pStyle w:val="2"/>
        <w:spacing w:before="92"/>
        <w:ind w:left="13" w:leftChars="0" w:right="50" w:rightChars="0" w:hanging="13" w:hangingChars="6"/>
        <w:jc w:val="center"/>
        <w:rPr>
          <w:rFonts w:hint="default" w:ascii="Arial" w:hAnsi="Arial" w:cs="Arial"/>
          <w:b/>
          <w:bCs/>
          <w:sz w:val="22"/>
          <w:szCs w:val="22"/>
        </w:rPr>
      </w:pPr>
      <w:r>
        <w:rPr>
          <w:rFonts w:hint="default" w:ascii="Arial" w:hAnsi="Arial" w:cs="Arial"/>
          <w:b/>
          <w:bCs/>
          <w:sz w:val="22"/>
          <w:szCs w:val="22"/>
        </w:rPr>
        <w:t xml:space="preserve">DECLARAÇÃO DE CONHECIMENTO E CONCORDÂNCIA COM OS TERMOS DO </w:t>
      </w:r>
    </w:p>
    <w:p>
      <w:pPr>
        <w:pStyle w:val="2"/>
        <w:spacing w:before="92"/>
        <w:ind w:left="13" w:leftChars="0" w:right="50" w:rightChars="0" w:hanging="13" w:hangingChars="6"/>
        <w:jc w:val="center"/>
        <w:rPr>
          <w:rFonts w:hint="default" w:ascii="Arial" w:hAnsi="Arial" w:cs="Arial"/>
          <w:b/>
          <w:bCs/>
          <w:sz w:val="22"/>
          <w:szCs w:val="22"/>
        </w:rPr>
      </w:pPr>
      <w:r>
        <w:rPr>
          <w:rFonts w:hint="default" w:ascii="Arial" w:hAnsi="Arial" w:cs="Arial"/>
          <w:b/>
          <w:bCs/>
          <w:sz w:val="22"/>
          <w:szCs w:val="22"/>
        </w:rPr>
        <w:t>EDITAL E SEUS ANEXOS.</w:t>
      </w:r>
    </w:p>
    <w:p>
      <w:pPr>
        <w:pStyle w:val="11"/>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23"/>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3"/>
        <w:jc w:val="both"/>
        <w:rPr>
          <w:rFonts w:hint="default" w:ascii="Arial" w:hAnsi="Arial" w:cs="Arial"/>
          <w:b/>
          <w:sz w:val="22"/>
          <w:szCs w:val="22"/>
        </w:rPr>
      </w:pPr>
      <w:r>
        <w:rPr>
          <w:rFonts w:hint="default" w:ascii="Arial" w:hAnsi="Arial" w:cs="Arial"/>
          <w:b/>
          <w:sz w:val="22"/>
          <w:szCs w:val="22"/>
        </w:rPr>
        <w:t>COMISSÃO PERMANENTE DE LICITAÇÃO.</w:t>
      </w:r>
    </w:p>
    <w:p>
      <w:pPr>
        <w:pStyle w:val="23"/>
        <w:jc w:val="both"/>
        <w:rPr>
          <w:rFonts w:hint="default" w:ascii="Arial" w:hAnsi="Arial" w:cs="Arial"/>
          <w:sz w:val="22"/>
          <w:szCs w:val="22"/>
        </w:rPr>
      </w:pPr>
      <w:r>
        <w:rPr>
          <w:rFonts w:hint="default" w:ascii="Arial" w:hAnsi="Arial" w:cs="Arial"/>
          <w:sz w:val="22"/>
          <w:szCs w:val="22"/>
        </w:rPr>
        <w:t>Rua Eduardo Leekning, 550, Jd. Bela Vista</w:t>
      </w:r>
    </w:p>
    <w:p>
      <w:pPr>
        <w:pStyle w:val="23"/>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ascii="Arial" w:hAnsi="Arial" w:cs="Arial"/>
          <w:b/>
          <w:bCs/>
          <w:sz w:val="22"/>
          <w:szCs w:val="22"/>
          <w:lang w:val="pt-BR"/>
        </w:rPr>
      </w:pPr>
      <w:r>
        <w:rPr>
          <w:rFonts w:hint="default" w:cs="Arial"/>
          <w:b/>
          <w:bCs/>
          <w:sz w:val="22"/>
          <w:szCs w:val="22"/>
          <w:lang w:val="pt-BR"/>
        </w:rPr>
        <w:t xml:space="preserve">REFERÊNCIA: </w:t>
      </w:r>
      <w:r>
        <w:rPr>
          <w:rFonts w:hint="default" w:ascii="Arial" w:hAnsi="Arial" w:cs="Arial"/>
          <w:b/>
          <w:bCs/>
          <w:sz w:val="22"/>
          <w:szCs w:val="22"/>
        </w:rPr>
        <w:t>LICITAÇÃO</w:t>
      </w:r>
      <w:r>
        <w:rPr>
          <w:rFonts w:hint="default" w:ascii="Arial" w:hAnsi="Arial"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ascii="Arial" w:hAnsi="Arial"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ABERTO</w:t>
      </w:r>
    </w:p>
    <w:p>
      <w:pPr>
        <w:jc w:val="both"/>
        <w:rPr>
          <w:rFonts w:hint="default" w:ascii="Arial" w:hAnsi="Arial" w:cs="Arial"/>
          <w:b/>
          <w:bCs/>
          <w:sz w:val="22"/>
          <w:szCs w:val="22"/>
          <w:lang w:val="pt-BR"/>
        </w:rPr>
      </w:pPr>
    </w:p>
    <w:p>
      <w:pPr>
        <w:jc w:val="both"/>
        <w:rPr>
          <w:rFonts w:hint="default" w:ascii="Arial" w:hAnsi="Arial" w:cs="Arial"/>
          <w:b/>
          <w:bCs/>
          <w:color w:val="000000" w:themeColor="text1"/>
          <w:sz w:val="22"/>
          <w:szCs w:val="22"/>
          <w14:textFill>
            <w14:solidFill>
              <w14:schemeClr w14:val="tx1"/>
            </w14:solidFill>
          </w14:textFill>
        </w:rPr>
      </w:pPr>
      <w:r>
        <w:rPr>
          <w:rFonts w:hint="default" w:cs="Arial"/>
          <w:b/>
          <w:bCs/>
          <w:sz w:val="22"/>
          <w:szCs w:val="22"/>
          <w:lang w:val="pt-BR"/>
        </w:rPr>
        <w:t>Objeto:</w:t>
      </w:r>
      <w:r>
        <w:rPr>
          <w:rFonts w:hint="default" w:cs="Arial"/>
          <w:color w:val="000000" w:themeColor="text1"/>
          <w:sz w:val="22"/>
          <w:szCs w:val="22"/>
          <w:lang w:val="pt-BR"/>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Empresa</w:t>
      </w:r>
      <w:r>
        <w:rPr>
          <w:rFonts w:hint="default" w:cs="Arial"/>
          <w:sz w:val="22"/>
          <w:szCs w:val="22"/>
          <w:lang w:val="pt-BR"/>
        </w:rPr>
        <w:t>:</w:t>
      </w:r>
      <w:r>
        <w:rPr>
          <w:rFonts w:hint="default" w:ascii="Arial" w:hAnsi="Arial" w:cs="Arial"/>
          <w:sz w:val="22"/>
          <w:szCs w:val="22"/>
        </w:rPr>
        <w:t xml:space="preserve">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___________, em __ de ________________ de 20</w:t>
      </w:r>
      <w:r>
        <w:rPr>
          <w:rFonts w:hint="default" w:cs="Arial"/>
          <w:sz w:val="22"/>
          <w:szCs w:val="22"/>
          <w:lang w:val="pt-BR"/>
        </w:rPr>
        <w:t>19</w:t>
      </w:r>
      <w:r>
        <w:rPr>
          <w:rFonts w:hint="default" w:ascii="Arial" w:hAnsi="Arial" w:cs="Arial"/>
          <w:sz w:val="22"/>
          <w:szCs w:val="22"/>
        </w:rPr>
        <w:t xml:space="preserv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rPr>
          <w:rFonts w:hint="default"/>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ascii="Arial" w:hAnsi="Arial" w:cs="Arial"/>
          <w:sz w:val="22"/>
          <w:szCs w:val="22"/>
          <w:lang w:val="pt-BR"/>
        </w:rPr>
        <w:t>X</w:t>
      </w:r>
      <w:r>
        <w:rPr>
          <w:rFonts w:hint="default" w:cs="Arial"/>
          <w:sz w:val="22"/>
          <w:szCs w:val="22"/>
          <w:lang w:val="pt-BR"/>
        </w:rPr>
        <w:t>I</w:t>
      </w:r>
      <w:r>
        <w:rPr>
          <w:rFonts w:hint="default" w:ascii="Arial" w:hAnsi="Arial" w:cs="Arial"/>
          <w:sz w:val="22"/>
          <w:szCs w:val="22"/>
        </w:rPr>
        <w:t xml:space="preserve"> </w:t>
      </w: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(art. 7°, XXXIII da CF/88)</w:t>
      </w:r>
    </w:p>
    <w:p>
      <w:pPr>
        <w:ind w:left="0" w:leftChars="0" w:right="48" w:rightChars="22" w:firstLine="0" w:firstLineChars="0"/>
        <w:jc w:val="both"/>
        <w:rPr>
          <w:rFonts w:hint="default" w:ascii="Arial" w:hAnsi="Arial" w:cs="Arial"/>
          <w:b/>
          <w:spacing w:val="-10"/>
          <w:sz w:val="22"/>
          <w:szCs w:val="22"/>
        </w:rPr>
      </w:pPr>
    </w:p>
    <w:p>
      <w:pPr>
        <w:pStyle w:val="23"/>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3"/>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COMISSÃO PERMANENTE DE LICITAÇÃO.</w:t>
      </w:r>
    </w:p>
    <w:p>
      <w:pPr>
        <w:pStyle w:val="23"/>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3"/>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23"/>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bCs w:val="0"/>
          <w:sz w:val="22"/>
          <w:szCs w:val="22"/>
          <w:lang w:val="pt-BR"/>
        </w:rPr>
      </w:pPr>
      <w:r>
        <w:rPr>
          <w:rFonts w:hint="default" w:ascii="Arial" w:hAnsi="Arial" w:cs="Arial"/>
          <w:b/>
          <w:bCs w:val="0"/>
          <w:sz w:val="22"/>
          <w:szCs w:val="22"/>
        </w:rPr>
        <w:t>REFERÊNCIA: LICITAÇÃO</w:t>
      </w:r>
      <w:r>
        <w:rPr>
          <w:rFonts w:hint="default" w:ascii="Arial" w:hAnsi="Arial" w:cs="Arial"/>
          <w:b/>
          <w:bCs w:val="0"/>
          <w:sz w:val="22"/>
          <w:szCs w:val="22"/>
          <w:lang w:val="pt-BR"/>
        </w:rPr>
        <w:t xml:space="preserve"> PRESENCIAL</w:t>
      </w:r>
      <w:r>
        <w:rPr>
          <w:rFonts w:hint="default" w:ascii="Arial" w:hAnsi="Arial" w:cs="Arial"/>
          <w:b/>
          <w:bCs w:val="0"/>
          <w:sz w:val="22"/>
          <w:szCs w:val="22"/>
        </w:rPr>
        <w:t xml:space="preserve"> N° </w:t>
      </w:r>
      <w:r>
        <w:rPr>
          <w:rFonts w:hint="default" w:cs="Arial"/>
          <w:b/>
          <w:bCs w:val="0"/>
          <w:sz w:val="22"/>
          <w:szCs w:val="22"/>
          <w:lang w:val="pt-BR"/>
        </w:rPr>
        <w:t>0002</w:t>
      </w:r>
      <w:r>
        <w:rPr>
          <w:rFonts w:hint="default" w:ascii="Arial" w:hAnsi="Arial" w:cs="Arial"/>
          <w:b/>
          <w:bCs w:val="0"/>
          <w:sz w:val="22"/>
          <w:szCs w:val="22"/>
        </w:rPr>
        <w:t>/201</w:t>
      </w:r>
      <w:r>
        <w:rPr>
          <w:rFonts w:hint="default" w:ascii="Arial" w:hAnsi="Arial" w:cs="Arial"/>
          <w:b/>
          <w:bCs w:val="0"/>
          <w:sz w:val="22"/>
          <w:szCs w:val="22"/>
          <w:lang w:val="pt-BR"/>
        </w:rPr>
        <w:t xml:space="preserve">9 - </w:t>
      </w:r>
      <w:r>
        <w:rPr>
          <w:rFonts w:hint="default" w:ascii="Arial" w:hAnsi="Arial" w:cs="Arial"/>
          <w:b/>
          <w:bCs w:val="0"/>
          <w:sz w:val="22"/>
          <w:szCs w:val="22"/>
        </w:rPr>
        <w:t xml:space="preserve">MODO DE DISPUTA </w:t>
      </w:r>
      <w:r>
        <w:rPr>
          <w:rFonts w:hint="default" w:ascii="Arial" w:hAnsi="Arial" w:cs="Arial"/>
          <w:b/>
          <w:bCs w:val="0"/>
          <w:sz w:val="22"/>
          <w:szCs w:val="22"/>
          <w:lang w:val="pt-BR"/>
        </w:rPr>
        <w:t>ABERTO</w:t>
      </w:r>
    </w:p>
    <w:p>
      <w:pPr>
        <w:numPr>
          <w:ilvl w:val="0"/>
          <w:numId w:val="0"/>
        </w:numPr>
        <w:tabs>
          <w:tab w:val="left" w:pos="1843"/>
        </w:tabs>
        <w:ind w:left="0" w:leftChars="0" w:right="48" w:rightChars="22" w:firstLine="0" w:firstLineChars="0"/>
        <w:jc w:val="both"/>
        <w:rPr>
          <w:rFonts w:hint="default" w:ascii="Arial" w:hAnsi="Arial" w:cs="Arial"/>
          <w:b w:val="0"/>
          <w:bCs/>
          <w:sz w:val="22"/>
          <w:szCs w:val="22"/>
          <w:lang w:val="pt-BR"/>
        </w:rPr>
      </w:pPr>
    </w:p>
    <w:p>
      <w:pPr>
        <w:pStyle w:val="21"/>
        <w:widowControl/>
        <w:ind w:left="0" w:leftChars="0" w:right="48" w:rightChars="22" w:firstLine="0" w:firstLineChars="0"/>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OBJETO: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pStyle w:val="6"/>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6"/>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6"/>
        <w:spacing w:before="1"/>
        <w:ind w:left="0" w:leftChars="0" w:right="48" w:rightChars="22" w:firstLine="0" w:firstLineChars="0"/>
        <w:rPr>
          <w:rFonts w:hint="default" w:ascii="Arial" w:hAnsi="Arial" w:cs="Arial"/>
          <w:sz w:val="22"/>
          <w:szCs w:val="22"/>
        </w:rPr>
      </w:pPr>
    </w:p>
    <w:p>
      <w:pPr>
        <w:pStyle w:val="6"/>
        <w:tabs>
          <w:tab w:val="left" w:pos="2191"/>
          <w:tab w:val="left" w:pos="3050"/>
          <w:tab w:val="left" w:pos="5582"/>
          <w:tab w:val="left" w:pos="6456"/>
        </w:tabs>
        <w:spacing w:before="92"/>
        <w:ind w:left="0" w:leftChars="0" w:right="48" w:rightChars="22" w:firstLine="0" w:firstLineChars="0"/>
        <w:jc w:val="center"/>
        <w:rPr>
          <w:rFonts w:hint="default" w:ascii="Arial" w:hAnsi="Arial" w:cs="Arial"/>
          <w:sz w:val="22"/>
          <w:szCs w:val="22"/>
          <w:lang w:val="pt-BR"/>
        </w:rPr>
      </w:pPr>
      <w:r>
        <w:rPr>
          <w:rFonts w:hint="default" w:cs="Arial"/>
          <w:sz w:val="22"/>
          <w:szCs w:val="22"/>
          <w:lang w:val="pt-BR"/>
        </w:rPr>
        <w:t>____________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cs="Arial"/>
          <w:sz w:val="22"/>
          <w:szCs w:val="22"/>
          <w:u w:val="single"/>
          <w:lang w:val="pt-BR"/>
        </w:rPr>
        <w:t>______</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p>
    <w:p>
      <w:pPr>
        <w:pStyle w:val="6"/>
        <w:ind w:left="0" w:leftChars="0" w:right="48" w:rightChars="22" w:firstLine="0" w:firstLineChars="0"/>
        <w:jc w:val="center"/>
        <w:rPr>
          <w:rFonts w:hint="default" w:ascii="Arial" w:hAnsi="Arial" w:cs="Arial"/>
          <w:sz w:val="22"/>
          <w:szCs w:val="22"/>
        </w:rPr>
      </w:pPr>
    </w:p>
    <w:p>
      <w:pPr>
        <w:pStyle w:val="6"/>
        <w:ind w:left="0" w:leftChars="0" w:right="48" w:rightChars="22" w:firstLine="0" w:firstLineChars="0"/>
        <w:jc w:val="center"/>
        <w:rPr>
          <w:rFonts w:hint="default" w:ascii="Arial" w:hAnsi="Arial" w:cs="Arial"/>
          <w:sz w:val="22"/>
          <w:szCs w:val="22"/>
        </w:rPr>
      </w:pPr>
    </w:p>
    <w:p>
      <w:pPr>
        <w:pStyle w:val="6"/>
        <w:ind w:left="0" w:leftChars="0" w:right="48" w:rightChars="22" w:firstLine="0" w:firstLineChars="0"/>
        <w:jc w:val="center"/>
        <w:rPr>
          <w:rFonts w:hint="default" w:ascii="Arial" w:hAnsi="Arial" w:cs="Arial"/>
          <w:sz w:val="22"/>
          <w:szCs w:val="22"/>
        </w:rPr>
      </w:pPr>
    </w:p>
    <w:p>
      <w:pPr>
        <w:pStyle w:val="6"/>
        <w:ind w:left="0" w:leftChars="0" w:right="48" w:rightChars="22" w:firstLine="0" w:firstLineChars="0"/>
        <w:jc w:val="center"/>
        <w:rPr>
          <w:rFonts w:hint="default" w:ascii="Arial" w:hAnsi="Arial" w:cs="Arial"/>
          <w:sz w:val="22"/>
          <w:szCs w:val="22"/>
        </w:rPr>
      </w:pPr>
    </w:p>
    <w:p>
      <w:pPr>
        <w:pStyle w:val="6"/>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6"/>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6"/>
        <w:spacing w:before="10"/>
        <w:rPr>
          <w:rFonts w:hint="default" w:ascii="Arial" w:hAnsi="Arial" w:cs="Arial"/>
          <w:sz w:val="22"/>
          <w:szCs w:val="22"/>
        </w:rPr>
      </w:pPr>
    </w:p>
    <w:p>
      <w:pPr>
        <w:pStyle w:val="6"/>
        <w:jc w:val="center"/>
        <w:rPr>
          <w:rFonts w:hint="default" w:ascii="Arial" w:hAnsi="Arial" w:cs="Arial"/>
          <w:b/>
          <w:bCs/>
          <w:sz w:val="22"/>
          <w:szCs w:val="22"/>
        </w:rPr>
      </w:pPr>
      <w:r>
        <w:rPr>
          <w:rFonts w:hint="default" w:ascii="Arial" w:hAnsi="Arial" w:cs="Arial"/>
          <w:b/>
          <w:bCs/>
          <w:sz w:val="22"/>
          <w:szCs w:val="22"/>
        </w:rPr>
        <w:t>ANEXO X</w:t>
      </w:r>
      <w:r>
        <w:rPr>
          <w:rFonts w:hint="default" w:ascii="Arial" w:hAnsi="Arial" w:cs="Arial"/>
          <w:b/>
          <w:bCs/>
          <w:sz w:val="22"/>
          <w:szCs w:val="22"/>
          <w:lang w:val="pt-BR"/>
        </w:rPr>
        <w:t>I</w:t>
      </w:r>
      <w:r>
        <w:rPr>
          <w:rFonts w:hint="default" w:cs="Arial"/>
          <w:b/>
          <w:bCs/>
          <w:sz w:val="22"/>
          <w:szCs w:val="22"/>
          <w:lang w:val="pt-BR"/>
        </w:rPr>
        <w:t>I</w:t>
      </w:r>
      <w:r>
        <w:rPr>
          <w:rFonts w:hint="default" w:ascii="Arial" w:hAnsi="Arial" w:cs="Arial"/>
          <w:b/>
          <w:bCs/>
          <w:sz w:val="22"/>
          <w:szCs w:val="22"/>
        </w:rPr>
        <w:t xml:space="preserve"> </w:t>
      </w:r>
    </w:p>
    <w:p>
      <w:pPr>
        <w:pStyle w:val="6"/>
        <w:jc w:val="center"/>
        <w:rPr>
          <w:rFonts w:hint="default" w:ascii="Arial" w:hAnsi="Arial" w:cs="Arial"/>
          <w:sz w:val="22"/>
          <w:szCs w:val="22"/>
        </w:rPr>
      </w:pPr>
    </w:p>
    <w:p>
      <w:pPr>
        <w:pStyle w:val="11"/>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DECLARAÇÃO DE RESPONSABILIDADE TÉCNICA</w:t>
      </w:r>
    </w:p>
    <w:p>
      <w:pPr>
        <w:numPr>
          <w:ilvl w:val="0"/>
          <w:numId w:val="0"/>
        </w:numPr>
        <w:jc w:val="both"/>
        <w:rPr>
          <w:rFonts w:hint="default" w:ascii="Arial" w:hAnsi="Arial" w:cs="Arial"/>
          <w:b/>
          <w:spacing w:val="-10"/>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23"/>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3"/>
        <w:jc w:val="both"/>
        <w:rPr>
          <w:rFonts w:hint="default" w:ascii="Arial" w:hAnsi="Arial" w:cs="Arial"/>
          <w:b/>
          <w:sz w:val="22"/>
          <w:szCs w:val="22"/>
        </w:rPr>
      </w:pPr>
      <w:r>
        <w:rPr>
          <w:rFonts w:hint="default" w:ascii="Arial" w:hAnsi="Arial" w:cs="Arial"/>
          <w:b/>
          <w:sz w:val="22"/>
          <w:szCs w:val="22"/>
        </w:rPr>
        <w:t>COMISSÃO PERMANENTE DE LICITAÇÃO.</w:t>
      </w:r>
    </w:p>
    <w:p>
      <w:pPr>
        <w:pStyle w:val="23"/>
        <w:jc w:val="both"/>
        <w:rPr>
          <w:rFonts w:hint="default" w:ascii="Arial" w:hAnsi="Arial" w:cs="Arial"/>
          <w:sz w:val="22"/>
          <w:szCs w:val="22"/>
        </w:rPr>
      </w:pPr>
      <w:r>
        <w:rPr>
          <w:rFonts w:hint="default" w:ascii="Arial" w:hAnsi="Arial" w:cs="Arial"/>
          <w:sz w:val="22"/>
          <w:szCs w:val="22"/>
        </w:rPr>
        <w:t>Rua Eduardo Leekning, 550, Jd. Bela Vista</w:t>
      </w:r>
    </w:p>
    <w:p>
      <w:pPr>
        <w:pStyle w:val="23"/>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numPr>
          <w:ilvl w:val="0"/>
          <w:numId w:val="0"/>
        </w:numPr>
        <w:tabs>
          <w:tab w:val="left" w:pos="1843"/>
        </w:tabs>
        <w:jc w:val="both"/>
        <w:rPr>
          <w:rFonts w:hint="default" w:ascii="Arial" w:hAnsi="Arial" w:cs="Arial"/>
          <w:b/>
          <w:bCs w:val="0"/>
          <w:sz w:val="22"/>
          <w:szCs w:val="22"/>
        </w:rPr>
      </w:pPr>
      <w:r>
        <w:rPr>
          <w:rFonts w:hint="default" w:ascii="Arial" w:hAnsi="Arial" w:cs="Arial"/>
          <w:b/>
          <w:sz w:val="22"/>
          <w:szCs w:val="22"/>
        </w:rPr>
        <w:t xml:space="preserve">REFERÊNCIA: </w:t>
      </w:r>
      <w:r>
        <w:rPr>
          <w:rFonts w:hint="default" w:ascii="Arial" w:hAnsi="Arial" w:cs="Arial"/>
          <w:b/>
          <w:bCs w:val="0"/>
          <w:sz w:val="22"/>
          <w:szCs w:val="22"/>
        </w:rPr>
        <w:t>LICITAÇÃO</w:t>
      </w:r>
      <w:r>
        <w:rPr>
          <w:rFonts w:hint="default" w:ascii="Arial" w:hAnsi="Arial" w:cs="Arial"/>
          <w:b/>
          <w:bCs w:val="0"/>
          <w:sz w:val="22"/>
          <w:szCs w:val="22"/>
          <w:lang w:val="pt-BR"/>
        </w:rPr>
        <w:t xml:space="preserve"> PRESENCIAL</w:t>
      </w:r>
      <w:r>
        <w:rPr>
          <w:rFonts w:hint="default" w:ascii="Arial" w:hAnsi="Arial" w:cs="Arial"/>
          <w:b/>
          <w:bCs w:val="0"/>
          <w:sz w:val="22"/>
          <w:szCs w:val="22"/>
        </w:rPr>
        <w:t xml:space="preserve"> N° </w:t>
      </w:r>
      <w:r>
        <w:rPr>
          <w:rFonts w:hint="default" w:cs="Arial"/>
          <w:b/>
          <w:bCs w:val="0"/>
          <w:sz w:val="22"/>
          <w:szCs w:val="22"/>
          <w:lang w:val="pt-BR"/>
        </w:rPr>
        <w:t>0002</w:t>
      </w:r>
      <w:r>
        <w:rPr>
          <w:rFonts w:hint="default" w:ascii="Arial" w:hAnsi="Arial" w:cs="Arial"/>
          <w:b/>
          <w:bCs w:val="0"/>
          <w:sz w:val="22"/>
          <w:szCs w:val="22"/>
        </w:rPr>
        <w:t>/201</w:t>
      </w:r>
      <w:r>
        <w:rPr>
          <w:rFonts w:hint="default" w:ascii="Arial" w:hAnsi="Arial" w:cs="Arial"/>
          <w:b/>
          <w:bCs w:val="0"/>
          <w:sz w:val="22"/>
          <w:szCs w:val="22"/>
          <w:lang w:val="pt-BR"/>
        </w:rPr>
        <w:t xml:space="preserve">9 - </w:t>
      </w:r>
      <w:r>
        <w:rPr>
          <w:rFonts w:hint="default" w:ascii="Arial" w:hAnsi="Arial" w:cs="Arial"/>
          <w:b/>
          <w:bCs w:val="0"/>
          <w:sz w:val="22"/>
          <w:szCs w:val="22"/>
        </w:rPr>
        <w:t xml:space="preserve">MODO DE DISPUTA </w:t>
      </w:r>
      <w:r>
        <w:rPr>
          <w:rFonts w:hint="default" w:ascii="Arial" w:hAnsi="Arial" w:cs="Arial"/>
          <w:b/>
          <w:bCs w:val="0"/>
          <w:sz w:val="22"/>
          <w:szCs w:val="22"/>
          <w:lang w:val="pt-BR"/>
        </w:rPr>
        <w:t xml:space="preserve">ABERTO </w:t>
      </w:r>
    </w:p>
    <w:p>
      <w:pPr>
        <w:numPr>
          <w:ilvl w:val="0"/>
          <w:numId w:val="0"/>
        </w:numPr>
        <w:tabs>
          <w:tab w:val="left" w:pos="1843"/>
        </w:tabs>
        <w:jc w:val="both"/>
        <w:rPr>
          <w:rFonts w:hint="default" w:ascii="Arial" w:hAnsi="Arial" w:cs="Arial"/>
          <w:b/>
          <w:bCs w:val="0"/>
          <w:sz w:val="22"/>
          <w:szCs w:val="22"/>
        </w:rPr>
      </w:pPr>
    </w:p>
    <w:p>
      <w:pPr>
        <w:pStyle w:val="21"/>
        <w:widowControl/>
        <w:rPr>
          <w:rFonts w:hint="default" w:ascii="Arial" w:hAnsi="Arial" w:cs="Arial"/>
          <w:b/>
          <w:bCs/>
          <w:sz w:val="22"/>
          <w:szCs w:val="22"/>
        </w:rPr>
      </w:pPr>
      <w:r>
        <w:rPr>
          <w:rFonts w:hint="default" w:ascii="Arial" w:hAnsi="Arial" w:cs="Arial"/>
          <w:b/>
          <w:bCs/>
          <w:sz w:val="22"/>
          <w:szCs w:val="22"/>
        </w:rPr>
        <w:t>OBJETO:</w:t>
      </w:r>
      <w:r>
        <w:rPr>
          <w:rFonts w:hint="default" w:ascii="Arial" w:hAnsi="Arial" w:cs="Arial"/>
          <w:b/>
          <w:bCs/>
          <w:color w:val="000000" w:themeColor="text1"/>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pStyle w:val="22"/>
        <w:tabs>
          <w:tab w:val="left" w:pos="1346"/>
          <w:tab w:val="clear" w:pos="567"/>
        </w:tabs>
        <w:rPr>
          <w:rFonts w:hint="default" w:ascii="Arial" w:hAnsi="Arial" w:cs="Arial"/>
          <w:sz w:val="22"/>
          <w:szCs w:val="22"/>
        </w:rPr>
      </w:pPr>
    </w:p>
    <w:p>
      <w:pPr>
        <w:pStyle w:val="6"/>
        <w:jc w:val="both"/>
        <w:rPr>
          <w:rFonts w:hint="default" w:ascii="Arial" w:hAnsi="Arial" w:cs="Arial"/>
          <w:sz w:val="22"/>
          <w:szCs w:val="22"/>
        </w:rPr>
      </w:pPr>
      <w:r>
        <w:rPr>
          <w:rFonts w:hint="default" w:ascii="Arial" w:hAnsi="Arial" w:cs="Arial"/>
          <w:sz w:val="22"/>
          <w:szCs w:val="22"/>
        </w:rPr>
        <w:t>Declaramos, para efeito da licitação em referência, conforme disposto no Edital e seus anexos, que indicamos, de acordo com a Resolução nº 218 de 29.06.73 e nº 317, de 31/10/86, do CONFEA - Conselho Federal de Engenharia, Arquitetura e Agronomia, o(s) profissional (is) responsável (is) técnico(s), caso venhamos a vencer a referida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bl>
      <w:tblPr>
        <w:tblStyle w:val="17"/>
        <w:tblW w:w="9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600"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8170"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766"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Sendo mais de um:</w:t>
      </w:r>
    </w:p>
    <w:tbl>
      <w:tblPr>
        <w:tblStyle w:val="17"/>
        <w:tblW w:w="99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39"/>
        <w:gridCol w:w="291"/>
        <w:gridCol w:w="404"/>
        <w:gridCol w:w="2654"/>
        <w:gridCol w:w="2317"/>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Nome:</w:t>
            </w:r>
          </w:p>
        </w:tc>
        <w:tc>
          <w:tcPr>
            <w:tcW w:w="8600" w:type="dxa"/>
            <w:gridSpan w:val="6"/>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Assinatura:</w:t>
            </w:r>
          </w:p>
        </w:tc>
        <w:tc>
          <w:tcPr>
            <w:tcW w:w="8170"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9" w:type="dxa"/>
            <w:gridSpan w:val="4"/>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Especialidade:</w:t>
            </w:r>
          </w:p>
        </w:tc>
        <w:tc>
          <w:tcPr>
            <w:tcW w:w="7766"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gridSpan w:val="2"/>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CREA Nº</w:t>
            </w:r>
          </w:p>
        </w:tc>
        <w:tc>
          <w:tcPr>
            <w:tcW w:w="3349" w:type="dxa"/>
            <w:gridSpan w:val="3"/>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c>
          <w:tcPr>
            <w:tcW w:w="2317"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b/>
                <w:sz w:val="22"/>
                <w:szCs w:val="22"/>
              </w:rPr>
              <w:t>Data do Registro:</w:t>
            </w:r>
          </w:p>
        </w:tc>
        <w:tc>
          <w:tcPr>
            <w:tcW w:w="2795" w:type="dxa"/>
            <w:tcBorders>
              <w:top w:val="single" w:color="auto" w:sz="4" w:space="0"/>
              <w:left w:val="single" w:color="auto" w:sz="4" w:space="0"/>
              <w:bottom w:val="single" w:color="auto" w:sz="4" w:space="0"/>
              <w:right w:val="single" w:color="auto" w:sz="4" w:space="0"/>
            </w:tcBorders>
            <w:vAlign w:val="top"/>
          </w:tcPr>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tc>
      </w:tr>
    </w:tbl>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lang w:val="pt-BR"/>
        </w:rPr>
      </w:pPr>
      <w:r>
        <w:rPr>
          <w:rFonts w:hint="default" w:ascii="Arial" w:hAnsi="Arial" w:cs="Arial"/>
          <w:sz w:val="22"/>
          <w:szCs w:val="22"/>
        </w:rPr>
        <w:t xml:space="preserve">Declaramos, outrossim, que o(s) profissional (is) acima relacionado(s) pertence(m) ao nosso quadro técnico profissional permanente, com relacionamento junto à empresa, dentro da leis trabalhistas vigentes, conforme solicitado </w:t>
      </w:r>
      <w:r>
        <w:rPr>
          <w:rFonts w:hint="default" w:cs="Arial"/>
          <w:sz w:val="22"/>
          <w:szCs w:val="22"/>
          <w:lang w:val="pt-BR"/>
        </w:rPr>
        <w:t>no</w:t>
      </w:r>
      <w:r>
        <w:rPr>
          <w:rFonts w:hint="default" w:ascii="Arial" w:hAnsi="Arial" w:cs="Arial"/>
          <w:sz w:val="22"/>
          <w:szCs w:val="22"/>
        </w:rPr>
        <w:t xml:space="preserve"> Edital de</w:t>
      </w:r>
      <w:r>
        <w:rPr>
          <w:rFonts w:hint="default" w:ascii="Arial" w:hAnsi="Arial" w:cs="Arial"/>
          <w:sz w:val="22"/>
          <w:szCs w:val="22"/>
          <w:lang w:val="pt-BR"/>
        </w:rPr>
        <w:t xml:space="preserve"> </w:t>
      </w:r>
      <w:r>
        <w:rPr>
          <w:rFonts w:hint="default" w:cs="Arial"/>
          <w:sz w:val="22"/>
          <w:szCs w:val="22"/>
          <w:lang w:val="pt-BR"/>
        </w:rPr>
        <w:t>L</w:t>
      </w:r>
      <w:r>
        <w:rPr>
          <w:rFonts w:hint="default" w:ascii="Arial" w:hAnsi="Arial" w:cs="Arial"/>
          <w:sz w:val="22"/>
          <w:szCs w:val="22"/>
          <w:lang w:val="pt-BR"/>
        </w:rPr>
        <w:t xml:space="preserve">icitação </w:t>
      </w:r>
      <w:r>
        <w:rPr>
          <w:rFonts w:hint="default" w:cs="Arial"/>
          <w:sz w:val="22"/>
          <w:szCs w:val="22"/>
          <w:lang w:val="pt-BR"/>
        </w:rPr>
        <w:t xml:space="preserve">Presencial nº 0002/2019 - </w:t>
      </w:r>
      <w:r>
        <w:rPr>
          <w:rFonts w:hint="default" w:ascii="Arial" w:hAnsi="Arial" w:cs="Arial"/>
          <w:sz w:val="22"/>
          <w:szCs w:val="22"/>
          <w:lang w:val="pt-BR"/>
        </w:rPr>
        <w:t>Modo de Disputa Aberto</w:t>
      </w:r>
      <w:r>
        <w:rPr>
          <w:rFonts w:hint="default" w:cs="Arial"/>
          <w:sz w:val="22"/>
          <w:szCs w:val="22"/>
          <w:lang w:val="pt-BR"/>
        </w:rPr>
        <w:t>.</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lang w:val="pt-BR"/>
        </w:rPr>
      </w:pPr>
      <w:r>
        <w:rPr>
          <w:rFonts w:hint="default" w:ascii="Arial" w:hAnsi="Arial" w:cs="Arial"/>
          <w:sz w:val="22"/>
          <w:szCs w:val="22"/>
          <w:lang w:val="pt-BR"/>
        </w:rPr>
        <w:t>_______________, _____ de __________________ de 2.019.</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sz w:val="22"/>
          <w:szCs w:val="22"/>
        </w:rPr>
      </w:pPr>
      <w:r>
        <w:rPr>
          <w:rFonts w:hint="default" w:ascii="Arial" w:hAnsi="Arial" w:cs="Arial"/>
          <w:sz w:val="22"/>
          <w:szCs w:val="22"/>
        </w:rPr>
        <w:t>CARIMBO, NOME E ASSINATURA DO REPRESENTANTE LEGAL</w:t>
      </w:r>
    </w:p>
    <w:p>
      <w:pPr>
        <w:pStyle w:val="6"/>
        <w:spacing w:before="10"/>
        <w:rPr>
          <w:rFonts w:hint="default" w:ascii="Arial" w:hAnsi="Arial" w:cs="Arial"/>
          <w:sz w:val="22"/>
          <w:szCs w:val="22"/>
        </w:rPr>
      </w:pPr>
      <w:r>
        <w:rPr>
          <w:rFonts w:hint="default" w:ascii="Arial" w:hAnsi="Arial" w:cs="Arial"/>
          <w:b/>
          <w:sz w:val="22"/>
          <w:szCs w:val="22"/>
          <w:u w:val="single"/>
        </w:rPr>
        <w:br w:type="page"/>
      </w:r>
    </w:p>
    <w:p>
      <w:pPr>
        <w:spacing w:line="360" w:lineRule="auto"/>
        <w:ind w:firstLine="2421" w:firstLineChars="1100"/>
        <w:jc w:val="both"/>
        <w:rPr>
          <w:rFonts w:hint="default" w:ascii="Arial" w:hAnsi="Arial" w:cs="Arial"/>
          <w:b/>
          <w:bCs/>
          <w:sz w:val="22"/>
          <w:szCs w:val="22"/>
          <w:u w:val="none"/>
        </w:rPr>
      </w:pPr>
      <w:r>
        <w:rPr>
          <w:rFonts w:hint="default" w:ascii="Arial" w:hAnsi="Arial" w:cs="Arial"/>
          <w:b/>
          <w:bCs/>
          <w:sz w:val="22"/>
          <w:szCs w:val="22"/>
          <w:u w:val="none"/>
        </w:rPr>
        <w:t>ANEXO X</w:t>
      </w:r>
      <w:r>
        <w:rPr>
          <w:rFonts w:hint="default" w:cs="Arial"/>
          <w:b/>
          <w:bCs/>
          <w:sz w:val="22"/>
          <w:szCs w:val="22"/>
          <w:u w:val="none"/>
          <w:lang w:val="pt-BR"/>
        </w:rPr>
        <w:t>I</w:t>
      </w:r>
      <w:r>
        <w:rPr>
          <w:rFonts w:hint="default" w:ascii="Arial" w:hAnsi="Arial" w:cs="Arial"/>
          <w:b/>
          <w:bCs/>
          <w:sz w:val="22"/>
          <w:szCs w:val="22"/>
          <w:u w:val="none"/>
        </w:rPr>
        <w:t>I</w:t>
      </w:r>
      <w:r>
        <w:rPr>
          <w:rFonts w:hint="default" w:ascii="Arial" w:hAnsi="Arial" w:cs="Arial"/>
          <w:b/>
          <w:bCs/>
          <w:sz w:val="22"/>
          <w:szCs w:val="22"/>
          <w:u w:val="none"/>
          <w:lang w:val="pt-BR"/>
        </w:rPr>
        <w:t>I</w:t>
      </w:r>
      <w:r>
        <w:rPr>
          <w:rFonts w:hint="default" w:ascii="Arial" w:hAnsi="Arial" w:cs="Arial"/>
          <w:b/>
          <w:bCs/>
          <w:sz w:val="22"/>
          <w:szCs w:val="22"/>
          <w:u w:val="none"/>
        </w:rPr>
        <w:t xml:space="preserve"> </w:t>
      </w:r>
    </w:p>
    <w:p>
      <w:pPr>
        <w:spacing w:line="360" w:lineRule="auto"/>
        <w:jc w:val="center"/>
        <w:rPr>
          <w:rFonts w:hint="default" w:ascii="Arial" w:hAnsi="Arial" w:cs="Arial"/>
          <w:b/>
          <w:bCs/>
          <w:sz w:val="22"/>
          <w:szCs w:val="22"/>
          <w:u w:val="none"/>
        </w:rPr>
      </w:pPr>
    </w:p>
    <w:p>
      <w:pPr>
        <w:spacing w:line="360" w:lineRule="auto"/>
        <w:jc w:val="center"/>
        <w:rPr>
          <w:rFonts w:hint="default" w:ascii="Arial" w:hAnsi="Arial" w:cs="Arial"/>
          <w:b/>
          <w:bCs/>
          <w:sz w:val="22"/>
          <w:szCs w:val="22"/>
          <w:u w:val="none"/>
        </w:rPr>
      </w:pPr>
      <w:r>
        <w:rPr>
          <w:rFonts w:hint="default" w:ascii="Arial" w:hAnsi="Arial" w:cs="Arial"/>
          <w:b/>
          <w:bCs/>
          <w:sz w:val="22"/>
          <w:szCs w:val="22"/>
          <w:u w:val="none"/>
        </w:rPr>
        <w:t>MODELO DE</w:t>
      </w:r>
      <w:r>
        <w:rPr>
          <w:rFonts w:hint="default" w:ascii="Arial" w:hAnsi="Arial" w:cs="Arial"/>
          <w:b/>
          <w:bCs/>
          <w:sz w:val="22"/>
          <w:szCs w:val="22"/>
          <w:u w:val="none"/>
          <w:lang w:val="pt-BR"/>
        </w:rPr>
        <w:t xml:space="preserve"> </w:t>
      </w:r>
      <w:r>
        <w:rPr>
          <w:rFonts w:hint="default" w:ascii="Arial" w:hAnsi="Arial" w:cs="Arial"/>
          <w:b/>
          <w:bCs/>
          <w:sz w:val="22"/>
          <w:szCs w:val="22"/>
          <w:u w:val="none"/>
        </w:rPr>
        <w:t>APRESENTAÇÃO DAS CAT’S EM NOME DOS PROFISSIONAIS</w:t>
      </w:r>
    </w:p>
    <w:p>
      <w:pPr>
        <w:jc w:val="center"/>
        <w:rPr>
          <w:rFonts w:hint="default" w:ascii="Arial" w:hAnsi="Arial" w:cs="Arial"/>
          <w:b/>
          <w:bCs/>
          <w:sz w:val="22"/>
          <w:szCs w:val="22"/>
          <w:u w:val="single"/>
        </w:rPr>
      </w:pPr>
    </w:p>
    <w:p>
      <w:pPr>
        <w:rPr>
          <w:rFonts w:hint="default" w:ascii="Arial" w:hAnsi="Arial" w:cs="Arial"/>
          <w:b/>
          <w:bCs/>
          <w:sz w:val="22"/>
          <w:szCs w:val="22"/>
        </w:rPr>
      </w:pPr>
      <w:r>
        <w:rPr>
          <w:rFonts w:hint="default" w:ascii="Arial" w:hAnsi="Arial" w:cs="Arial"/>
          <w:b/>
          <w:bCs/>
          <w:sz w:val="22"/>
          <w:szCs w:val="22"/>
        </w:rPr>
        <w:t>A</w:t>
      </w:r>
    </w:p>
    <w:p>
      <w:pPr>
        <w:rPr>
          <w:rFonts w:hint="default" w:ascii="Arial" w:hAnsi="Arial" w:cs="Arial"/>
          <w:b/>
          <w:bCs/>
          <w:sz w:val="22"/>
          <w:szCs w:val="22"/>
        </w:rPr>
      </w:pPr>
      <w:r>
        <w:rPr>
          <w:rFonts w:hint="default" w:ascii="Arial" w:hAnsi="Arial" w:cs="Arial"/>
          <w:b/>
          <w:bCs/>
          <w:sz w:val="22"/>
          <w:szCs w:val="22"/>
        </w:rPr>
        <w:t>COMPANHIA DE DESENVOLVIMENTO DE NOVA ODESSA SP.</w:t>
      </w:r>
    </w:p>
    <w:p>
      <w:pPr>
        <w:rPr>
          <w:rFonts w:hint="default" w:ascii="Arial" w:hAnsi="Arial" w:cs="Arial"/>
          <w:b/>
          <w:bCs/>
          <w:sz w:val="22"/>
          <w:szCs w:val="22"/>
        </w:rPr>
      </w:pPr>
      <w:r>
        <w:rPr>
          <w:rFonts w:hint="default" w:ascii="Arial" w:hAnsi="Arial" w:cs="Arial"/>
          <w:b/>
          <w:bCs/>
          <w:sz w:val="22"/>
          <w:szCs w:val="22"/>
        </w:rPr>
        <w:t>COMISSÃO PERMANENTE DE LICITAÇÃO.</w:t>
      </w:r>
    </w:p>
    <w:p>
      <w:pPr>
        <w:rPr>
          <w:rFonts w:hint="default" w:ascii="Arial" w:hAnsi="Arial" w:cs="Arial"/>
          <w:b/>
          <w:bCs/>
          <w:sz w:val="22"/>
          <w:szCs w:val="22"/>
        </w:rPr>
      </w:pPr>
      <w:r>
        <w:rPr>
          <w:rFonts w:hint="default" w:ascii="Arial" w:hAnsi="Arial" w:cs="Arial"/>
          <w:b/>
          <w:bCs/>
          <w:sz w:val="22"/>
          <w:szCs w:val="22"/>
        </w:rPr>
        <w:t>Rua Eduardo Leekning, nº 550, Jd Bela Vista</w:t>
      </w:r>
    </w:p>
    <w:p>
      <w:pPr>
        <w:rPr>
          <w:rFonts w:hint="default" w:ascii="Arial" w:hAnsi="Arial" w:cs="Arial"/>
          <w:b/>
          <w:bCs/>
          <w:sz w:val="22"/>
          <w:szCs w:val="22"/>
        </w:rPr>
      </w:pPr>
      <w:r>
        <w:rPr>
          <w:rFonts w:hint="default" w:ascii="Arial" w:hAnsi="Arial" w:cs="Arial"/>
          <w:b/>
          <w:bCs/>
          <w:sz w:val="22"/>
          <w:szCs w:val="22"/>
        </w:rPr>
        <w:t>Nova Odessa- São Paulo</w:t>
      </w:r>
    </w:p>
    <w:p>
      <w:pPr>
        <w:rPr>
          <w:rFonts w:hint="default" w:ascii="Arial" w:hAnsi="Arial" w:cs="Arial"/>
          <w:b/>
          <w:bCs/>
          <w:sz w:val="22"/>
          <w:szCs w:val="22"/>
        </w:rPr>
      </w:pPr>
    </w:p>
    <w:p>
      <w:pPr>
        <w:rPr>
          <w:rFonts w:hint="default" w:ascii="Arial" w:hAnsi="Arial" w:cs="Arial"/>
          <w:b/>
          <w:bCs/>
          <w:sz w:val="22"/>
          <w:szCs w:val="22"/>
          <w:lang w:val="pt-BR"/>
        </w:rPr>
      </w:pPr>
      <w:r>
        <w:rPr>
          <w:rFonts w:hint="default" w:ascii="Arial" w:hAnsi="Arial" w:cs="Arial"/>
          <w:b/>
          <w:bCs/>
          <w:sz w:val="22"/>
          <w:szCs w:val="22"/>
        </w:rPr>
        <w:t>REFERÊNCIA: LICITAÇÃO</w:t>
      </w:r>
      <w:r>
        <w:rPr>
          <w:rFonts w:hint="default" w:ascii="Arial" w:hAnsi="Arial" w:cs="Arial"/>
          <w:b/>
          <w:bCs/>
          <w:sz w:val="22"/>
          <w:szCs w:val="22"/>
          <w:lang w:val="pt-BR"/>
        </w:rPr>
        <w:t xml:space="preserve"> PRESENCIAL</w:t>
      </w:r>
      <w:r>
        <w:rPr>
          <w:rFonts w:hint="default" w:ascii="Arial" w:hAnsi="Arial" w:cs="Arial"/>
          <w:b/>
          <w:bCs/>
          <w:sz w:val="22"/>
          <w:szCs w:val="22"/>
        </w:rPr>
        <w:t xml:space="preserve"> N° </w:t>
      </w:r>
      <w:r>
        <w:rPr>
          <w:rFonts w:hint="default" w:cs="Arial"/>
          <w:b/>
          <w:bCs/>
          <w:sz w:val="22"/>
          <w:szCs w:val="22"/>
          <w:lang w:val="pt-BR"/>
        </w:rPr>
        <w:t>0002</w:t>
      </w:r>
      <w:r>
        <w:rPr>
          <w:rFonts w:hint="default" w:ascii="Arial" w:hAnsi="Arial" w:cs="Arial"/>
          <w:b/>
          <w:bCs/>
          <w:sz w:val="22"/>
          <w:szCs w:val="22"/>
        </w:rPr>
        <w:t>/201</w:t>
      </w:r>
      <w:r>
        <w:rPr>
          <w:rFonts w:hint="default" w:ascii="Arial" w:hAnsi="Arial" w:cs="Arial"/>
          <w:b/>
          <w:bCs/>
          <w:sz w:val="22"/>
          <w:szCs w:val="22"/>
          <w:lang w:val="pt-BR"/>
        </w:rPr>
        <w:t xml:space="preserve">9 - </w:t>
      </w:r>
      <w:r>
        <w:rPr>
          <w:rFonts w:hint="default" w:ascii="Arial" w:hAnsi="Arial" w:cs="Arial"/>
          <w:b/>
          <w:bCs/>
          <w:sz w:val="22"/>
          <w:szCs w:val="22"/>
        </w:rPr>
        <w:t xml:space="preserve">MODO DE DISPUTA </w:t>
      </w:r>
      <w:r>
        <w:rPr>
          <w:rFonts w:hint="default" w:ascii="Arial" w:hAnsi="Arial" w:cs="Arial"/>
          <w:b/>
          <w:bCs/>
          <w:sz w:val="22"/>
          <w:szCs w:val="22"/>
          <w:lang w:val="pt-BR"/>
        </w:rPr>
        <w:t xml:space="preserve">ABERTO </w:t>
      </w:r>
    </w:p>
    <w:p>
      <w:pPr>
        <w:rPr>
          <w:rFonts w:hint="default" w:ascii="Arial" w:hAnsi="Arial" w:cs="Arial"/>
          <w:b/>
          <w:bCs/>
          <w:sz w:val="22"/>
          <w:szCs w:val="22"/>
          <w:lang w:val="pt-BR"/>
        </w:rPr>
      </w:pPr>
    </w:p>
    <w:p>
      <w:pPr>
        <w:rPr>
          <w:rFonts w:hint="default" w:ascii="Arial" w:hAnsi="Arial" w:cs="Arial"/>
          <w:sz w:val="22"/>
          <w:szCs w:val="22"/>
        </w:rPr>
      </w:pPr>
    </w:p>
    <w:p>
      <w:pPr>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bCs/>
          <w:sz w:val="22"/>
          <w:szCs w:val="22"/>
        </w:rPr>
        <w:t>OBJETO:</w:t>
      </w:r>
      <w:r>
        <w:rPr>
          <w:rFonts w:hint="default" w:cs="Arial"/>
          <w:sz w:val="22"/>
          <w:szCs w:val="22"/>
          <w:lang w:val="pt-BR"/>
        </w:rPr>
        <w:t xml:space="preserve"> </w:t>
      </w:r>
      <w:r>
        <w:rPr>
          <w:rFonts w:cs="Arial"/>
          <w:color w:val="000000" w:themeColor="text1"/>
          <w:sz w:val="22"/>
          <w:szCs w:val="22"/>
          <w:lang w:val="pt-BR"/>
          <w14:textFill>
            <w14:solidFill>
              <w14:schemeClr w14:val="tx1"/>
            </w14:solidFill>
          </w14:textFill>
        </w:rPr>
        <w:t xml:space="preserve">Contratação de empresa especializada para a elaboração do Plano de Segurança de Barragem - PSB de 4 barragens, visando o cumprimento da lei 12.334, de 20 de setembro de 2010, conforme especificações do Termo de Referência. </w:t>
      </w:r>
    </w:p>
    <w:p>
      <w:pPr>
        <w:jc w:val="both"/>
        <w:rPr>
          <w:rFonts w:hint="default" w:ascii="Arial" w:hAnsi="Arial" w:cs="Arial"/>
          <w:sz w:val="22"/>
          <w:szCs w:val="22"/>
        </w:rPr>
      </w:pPr>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Comprovamos possuir em nosso quadro permanente, profissionais graduados em ............................................., devidamente registrados na entidade profissional competente, detentores de atestados de responsabilidade técnica por execução </w:t>
      </w:r>
      <w:r>
        <w:rPr>
          <w:rFonts w:hint="default" w:cs="Arial"/>
          <w:sz w:val="22"/>
          <w:szCs w:val="22"/>
          <w:lang w:val="pt-BR"/>
        </w:rPr>
        <w:t>de</w:t>
      </w:r>
      <w:r>
        <w:rPr>
          <w:rFonts w:hint="default" w:ascii="Arial" w:hAnsi="Arial" w:cs="Arial"/>
          <w:sz w:val="22"/>
          <w:szCs w:val="22"/>
        </w:rPr>
        <w:t xml:space="preserve"> serviço, comprovado através de atestados e os respectivos CAT’s com características semelhantes, a saber:</w:t>
      </w:r>
    </w:p>
    <w:p>
      <w:pPr>
        <w:jc w:val="both"/>
        <w:rPr>
          <w:rFonts w:hint="default" w:ascii="Arial" w:hAnsi="Arial" w:cs="Arial"/>
          <w:sz w:val="22"/>
          <w:szCs w:val="22"/>
        </w:rPr>
      </w:pPr>
    </w:p>
    <w:tbl>
      <w:tblPr>
        <w:tblStyle w:val="17"/>
        <w:tblW w:w="9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15"/>
        <w:gridCol w:w="1300"/>
        <w:gridCol w:w="2133"/>
        <w:gridCol w:w="591"/>
        <w:gridCol w:w="991"/>
        <w:gridCol w:w="153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571" w:type="dxa"/>
            <w:tcBorders>
              <w:top w:val="single" w:color="auto" w:sz="4" w:space="0"/>
              <w:left w:val="single" w:color="auto" w:sz="4" w:space="0"/>
              <w:bottom w:val="single" w:color="auto" w:sz="4" w:space="0"/>
              <w:right w:val="single" w:color="auto" w:sz="4" w:space="0"/>
            </w:tcBorders>
            <w:shd w:val="clear" w:color="auto" w:fill="CCCCCC"/>
            <w:vAlign w:val="top"/>
          </w:tcPr>
          <w:p>
            <w:pPr>
              <w:rPr>
                <w:rFonts w:hint="default" w:ascii="Arial" w:hAnsi="Arial" w:cs="Arial"/>
                <w:sz w:val="22"/>
                <w:szCs w:val="22"/>
              </w:rPr>
            </w:pPr>
            <w:r>
              <w:rPr>
                <w:rFonts w:hint="default" w:ascii="Arial" w:hAnsi="Arial" w:cs="Arial"/>
                <w:sz w:val="22"/>
                <w:szCs w:val="22"/>
              </w:rPr>
              <w:t>01</w:t>
            </w:r>
          </w:p>
        </w:tc>
        <w:tc>
          <w:tcPr>
            <w:tcW w:w="1415"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CAT (Fl. n°):</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3119"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Data da Emissão:</w:t>
            </w:r>
          </w:p>
        </w:tc>
        <w:tc>
          <w:tcPr>
            <w:tcW w:w="1687"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Profissional:</w:t>
            </w:r>
          </w:p>
        </w:tc>
        <w:tc>
          <w:tcPr>
            <w:tcW w:w="2724"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9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Título:</w:t>
            </w:r>
          </w:p>
        </w:tc>
        <w:tc>
          <w:tcPr>
            <w:tcW w:w="1537"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687"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238" w:type="dxa"/>
            <w:gridSpan w:val="7"/>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Atividades Técnicas Realizadas:</w:t>
            </w:r>
          </w:p>
        </w:tc>
        <w:tc>
          <w:tcPr>
            <w:tcW w:w="1687"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986" w:type="dxa"/>
            <w:gridSpan w:val="3"/>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Local d</w:t>
            </w:r>
            <w:r>
              <w:rPr>
                <w:rFonts w:hint="default" w:cs="Arial"/>
                <w:sz w:val="22"/>
                <w:szCs w:val="22"/>
                <w:lang w:val="pt-BR"/>
              </w:rPr>
              <w:t>os Serviços</w:t>
            </w:r>
            <w:r>
              <w:rPr>
                <w:rFonts w:hint="default" w:ascii="Arial" w:hAnsi="Arial" w:cs="Arial"/>
                <w:sz w:val="22"/>
                <w:szCs w:val="22"/>
              </w:rPr>
              <w:t>:</w:t>
            </w:r>
          </w:p>
        </w:tc>
        <w:tc>
          <w:tcPr>
            <w:tcW w:w="5252" w:type="dxa"/>
            <w:gridSpan w:val="4"/>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687"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7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Período:</w:t>
            </w:r>
          </w:p>
        </w:tc>
        <w:tc>
          <w:tcPr>
            <w:tcW w:w="1415" w:type="dxa"/>
            <w:gridSpan w:val="2"/>
            <w:tcBorders>
              <w:top w:val="single" w:color="auto" w:sz="4" w:space="0"/>
              <w:left w:val="nil"/>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De</w:t>
            </w:r>
          </w:p>
        </w:tc>
        <w:tc>
          <w:tcPr>
            <w:tcW w:w="2133" w:type="dxa"/>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591" w:type="dxa"/>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À</w:t>
            </w:r>
          </w:p>
        </w:tc>
        <w:tc>
          <w:tcPr>
            <w:tcW w:w="2528" w:type="dxa"/>
            <w:gridSpan w:val="2"/>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687"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Contratante:</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687" w:type="dxa"/>
            <w:vAlign w:val="center"/>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86" w:type="dxa"/>
            <w:gridSpan w:val="2"/>
            <w:tcBorders>
              <w:top w:val="single" w:color="auto" w:sz="4" w:space="0"/>
              <w:left w:val="single" w:color="auto" w:sz="4" w:space="0"/>
              <w:bottom w:val="single" w:color="auto" w:sz="4" w:space="0"/>
              <w:right w:val="nil"/>
            </w:tcBorders>
            <w:vAlign w:val="top"/>
          </w:tcPr>
          <w:p>
            <w:pPr>
              <w:rPr>
                <w:rFonts w:hint="default" w:ascii="Arial" w:hAnsi="Arial" w:cs="Arial"/>
                <w:sz w:val="22"/>
                <w:szCs w:val="22"/>
              </w:rPr>
            </w:pPr>
            <w:r>
              <w:rPr>
                <w:rFonts w:hint="default" w:ascii="Arial" w:hAnsi="Arial" w:cs="Arial"/>
                <w:sz w:val="22"/>
                <w:szCs w:val="22"/>
              </w:rPr>
              <w:t>Contratada:</w:t>
            </w:r>
          </w:p>
        </w:tc>
        <w:tc>
          <w:tcPr>
            <w:tcW w:w="6552" w:type="dxa"/>
            <w:gridSpan w:val="5"/>
            <w:tcBorders>
              <w:top w:val="single" w:color="auto" w:sz="4" w:space="0"/>
              <w:left w:val="nil"/>
              <w:bottom w:val="single" w:color="auto" w:sz="4" w:space="0"/>
              <w:right w:val="single" w:color="auto" w:sz="4" w:space="0"/>
            </w:tcBorders>
            <w:vAlign w:val="top"/>
          </w:tcPr>
          <w:p>
            <w:pPr>
              <w:rPr>
                <w:rFonts w:hint="default" w:ascii="Arial" w:hAnsi="Arial" w:cs="Arial"/>
                <w:sz w:val="22"/>
                <w:szCs w:val="22"/>
              </w:rPr>
            </w:pPr>
          </w:p>
        </w:tc>
        <w:tc>
          <w:tcPr>
            <w:tcW w:w="1687" w:type="dxa"/>
            <w:vAlign w:val="center"/>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Serviços comprovados pelo CAT acima:</w:t>
      </w:r>
    </w:p>
    <w:p>
      <w:pPr>
        <w:rPr>
          <w:rFonts w:hint="default" w:ascii="Arial" w:hAnsi="Arial" w:cs="Arial"/>
          <w:sz w:val="22"/>
          <w:szCs w:val="22"/>
        </w:rPr>
      </w:pPr>
    </w:p>
    <w:tbl>
      <w:tblPr>
        <w:tblStyle w:val="17"/>
        <w:tblW w:w="9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69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5" w:type="dxa"/>
            <w:gridSpan w:val="2"/>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Serviço(s)</w:t>
            </w: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Fl(s)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r>
              <w:rPr>
                <w:rFonts w:hint="default" w:ascii="Arial" w:hAnsi="Arial" w:cs="Arial"/>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c>
          <w:tcPr>
            <w:tcW w:w="150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cs="Arial"/>
                <w:sz w:val="22"/>
                <w:szCs w:val="22"/>
              </w:rPr>
            </w:pPr>
          </w:p>
        </w:tc>
      </w:tr>
    </w:tbl>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lang w:val="pt-BR"/>
        </w:rPr>
      </w:pPr>
      <w:r>
        <w:rPr>
          <w:rFonts w:hint="default" w:ascii="Arial" w:hAnsi="Arial" w:cs="Arial"/>
          <w:sz w:val="22"/>
          <w:szCs w:val="22"/>
          <w:lang w:val="pt-BR"/>
        </w:rPr>
        <w:t>_______________, _____ de __________________ de 2.019.</w:t>
      </w:r>
    </w:p>
    <w:p>
      <w:pPr>
        <w:rPr>
          <w:rFonts w:hint="default" w:ascii="Arial" w:hAnsi="Arial" w:cs="Arial"/>
          <w:sz w:val="22"/>
          <w:szCs w:val="22"/>
          <w:lang w:val="pt-BR"/>
        </w:rPr>
      </w:pPr>
    </w:p>
    <w:p>
      <w:pPr>
        <w:rPr>
          <w:rFonts w:hint="default" w:ascii="Arial" w:hAnsi="Arial" w:cs="Arial"/>
          <w:sz w:val="22"/>
          <w:szCs w:val="22"/>
        </w:rPr>
      </w:pPr>
    </w:p>
    <w:p>
      <w:pPr>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pStyle w:val="11"/>
        <w:spacing w:after="0"/>
        <w:ind w:left="0" w:firstLine="4153" w:firstLineChars="1887"/>
        <w:jc w:val="both"/>
        <w:rPr>
          <w:rFonts w:hint="default" w:ascii="Arial" w:hAnsi="Arial" w:cs="Arial"/>
          <w:b/>
          <w:sz w:val="22"/>
          <w:szCs w:val="22"/>
          <w:u w:val="none"/>
          <w:lang w:val="pt-BR"/>
        </w:rPr>
      </w:pPr>
      <w:r>
        <w:rPr>
          <w:rFonts w:hint="default" w:ascii="Arial" w:hAnsi="Arial" w:cs="Arial"/>
          <w:b/>
          <w:sz w:val="22"/>
          <w:szCs w:val="22"/>
          <w:u w:val="none"/>
        </w:rPr>
        <w:t xml:space="preserve">ANEXO </w:t>
      </w:r>
      <w:r>
        <w:rPr>
          <w:rFonts w:hint="default" w:ascii="Arial" w:hAnsi="Arial" w:cs="Arial"/>
          <w:b/>
          <w:sz w:val="22"/>
          <w:szCs w:val="22"/>
          <w:u w:val="none"/>
          <w:lang w:val="pt-BR"/>
        </w:rPr>
        <w:t>X</w:t>
      </w:r>
      <w:r>
        <w:rPr>
          <w:rFonts w:hint="default" w:cs="Arial"/>
          <w:b/>
          <w:sz w:val="22"/>
          <w:szCs w:val="22"/>
          <w:u w:val="none"/>
          <w:lang w:val="pt-BR"/>
        </w:rPr>
        <w:t>IV</w:t>
      </w:r>
    </w:p>
    <w:p>
      <w:pPr>
        <w:pStyle w:val="11"/>
        <w:spacing w:after="0"/>
        <w:ind w:left="0"/>
        <w:jc w:val="center"/>
        <w:rPr>
          <w:rFonts w:hint="default" w:ascii="Arial" w:hAnsi="Arial" w:cs="Arial"/>
          <w:b/>
          <w:sz w:val="22"/>
          <w:szCs w:val="22"/>
        </w:rPr>
      </w:pPr>
    </w:p>
    <w:p>
      <w:pPr>
        <w:pStyle w:val="11"/>
        <w:spacing w:after="0"/>
        <w:ind w:left="0"/>
        <w:jc w:val="center"/>
        <w:rPr>
          <w:rFonts w:hint="default" w:ascii="Arial" w:hAnsi="Arial" w:cs="Arial"/>
          <w:b/>
          <w:sz w:val="22"/>
          <w:szCs w:val="22"/>
        </w:rPr>
      </w:pPr>
      <w:r>
        <w:rPr>
          <w:rFonts w:hint="default" w:ascii="Arial" w:hAnsi="Arial" w:cs="Arial"/>
          <w:b/>
          <w:sz w:val="22"/>
          <w:szCs w:val="22"/>
        </w:rPr>
        <w:t>MODELO DE</w:t>
      </w:r>
      <w:r>
        <w:rPr>
          <w:rFonts w:hint="default" w:ascii="Arial" w:hAnsi="Arial" w:cs="Arial"/>
          <w:b/>
          <w:sz w:val="22"/>
          <w:szCs w:val="22"/>
          <w:lang w:val="pt-BR"/>
        </w:rPr>
        <w:t xml:space="preserve"> </w:t>
      </w:r>
      <w:r>
        <w:rPr>
          <w:rFonts w:hint="default" w:ascii="Arial" w:hAnsi="Arial" w:cs="Arial"/>
          <w:b/>
          <w:sz w:val="22"/>
          <w:szCs w:val="22"/>
        </w:rPr>
        <w:t>APRESENTAÇÃO DOS ATESTADOS EM NOME DA EMPRESA</w:t>
      </w:r>
    </w:p>
    <w:p>
      <w:pPr>
        <w:jc w:val="both"/>
        <w:rPr>
          <w:rFonts w:hint="default" w:ascii="Arial" w:hAnsi="Arial" w:cs="Arial"/>
          <w:sz w:val="22"/>
          <w:szCs w:val="22"/>
        </w:rPr>
      </w:pPr>
    </w:p>
    <w:p>
      <w:pPr>
        <w:numPr>
          <w:ilvl w:val="0"/>
          <w:numId w:val="0"/>
        </w:numPr>
        <w:jc w:val="both"/>
        <w:rPr>
          <w:rFonts w:hint="default" w:ascii="Arial" w:hAnsi="Arial" w:cs="Arial"/>
          <w:b/>
          <w:sz w:val="22"/>
          <w:szCs w:val="22"/>
        </w:rPr>
      </w:pPr>
      <w:r>
        <w:rPr>
          <w:rFonts w:hint="default" w:ascii="Arial" w:hAnsi="Arial" w:cs="Arial"/>
          <w:b/>
          <w:sz w:val="22"/>
          <w:szCs w:val="22"/>
        </w:rPr>
        <w:t>A</w:t>
      </w:r>
    </w:p>
    <w:p>
      <w:pPr>
        <w:pStyle w:val="23"/>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3"/>
        <w:jc w:val="both"/>
        <w:rPr>
          <w:rFonts w:hint="default" w:ascii="Arial" w:hAnsi="Arial" w:cs="Arial"/>
          <w:b/>
          <w:sz w:val="22"/>
          <w:szCs w:val="22"/>
        </w:rPr>
      </w:pPr>
      <w:r>
        <w:rPr>
          <w:rFonts w:hint="default" w:ascii="Arial" w:hAnsi="Arial" w:cs="Arial"/>
          <w:b/>
          <w:sz w:val="22"/>
          <w:szCs w:val="22"/>
        </w:rPr>
        <w:t>COMISSÃO PERMANENTE DE LICITAÇÃO.</w:t>
      </w:r>
    </w:p>
    <w:p>
      <w:pPr>
        <w:pStyle w:val="23"/>
        <w:jc w:val="both"/>
        <w:rPr>
          <w:rFonts w:hint="default" w:ascii="Arial" w:hAnsi="Arial" w:cs="Arial"/>
          <w:sz w:val="22"/>
          <w:szCs w:val="22"/>
        </w:rPr>
      </w:pPr>
      <w:r>
        <w:rPr>
          <w:rFonts w:hint="default" w:ascii="Arial" w:hAnsi="Arial" w:cs="Arial"/>
          <w:sz w:val="22"/>
          <w:szCs w:val="22"/>
        </w:rPr>
        <w:t xml:space="preserve">Rua Eduardo Leekning, 550, Jd. Bela Vista </w:t>
      </w:r>
    </w:p>
    <w:p>
      <w:pPr>
        <w:pStyle w:val="23"/>
        <w:jc w:val="both"/>
        <w:rPr>
          <w:rFonts w:hint="default" w:ascii="Arial" w:hAnsi="Arial" w:cs="Arial"/>
          <w:sz w:val="22"/>
          <w:szCs w:val="22"/>
        </w:rPr>
      </w:pPr>
      <w:r>
        <w:rPr>
          <w:rFonts w:hint="default" w:ascii="Arial" w:hAnsi="Arial" w:cs="Arial"/>
          <w:sz w:val="22"/>
          <w:szCs w:val="22"/>
        </w:rPr>
        <w:t>Nova Odessa - São Paulo</w:t>
      </w:r>
    </w:p>
    <w:p>
      <w:pPr>
        <w:jc w:val="both"/>
        <w:rPr>
          <w:rFonts w:hint="default" w:ascii="Arial" w:hAnsi="Arial" w:cs="Arial"/>
          <w:sz w:val="22"/>
          <w:szCs w:val="22"/>
        </w:rPr>
      </w:pPr>
    </w:p>
    <w:p>
      <w:pPr>
        <w:numPr>
          <w:ilvl w:val="0"/>
          <w:numId w:val="0"/>
        </w:numPr>
        <w:tabs>
          <w:tab w:val="left" w:pos="1843"/>
        </w:tabs>
        <w:jc w:val="both"/>
        <w:rPr>
          <w:rFonts w:hint="default" w:ascii="Arial" w:hAnsi="Arial" w:cs="Arial"/>
          <w:b/>
          <w:bCs w:val="0"/>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bCs w:val="0"/>
          <w:sz w:val="22"/>
          <w:szCs w:val="22"/>
          <w:lang w:val="pt-BR"/>
        </w:rPr>
        <w:t xml:space="preserve">LICITAÇÃO PRESENCIAL N° </w:t>
      </w:r>
      <w:r>
        <w:rPr>
          <w:rFonts w:hint="default" w:cs="Arial"/>
          <w:b/>
          <w:bCs w:val="0"/>
          <w:sz w:val="22"/>
          <w:szCs w:val="22"/>
          <w:lang w:val="pt-BR"/>
        </w:rPr>
        <w:t>0002</w:t>
      </w:r>
      <w:r>
        <w:rPr>
          <w:rFonts w:hint="default" w:ascii="Arial" w:hAnsi="Arial" w:cs="Arial"/>
          <w:b/>
          <w:bCs w:val="0"/>
          <w:sz w:val="22"/>
          <w:szCs w:val="22"/>
          <w:lang w:val="pt-BR"/>
        </w:rPr>
        <w:t xml:space="preserve">/2019 - MODO DE DISPUTA ABERTO </w:t>
      </w:r>
      <w:r>
        <w:rPr>
          <w:rFonts w:hint="default" w:ascii="Arial" w:hAnsi="Arial" w:cs="Arial"/>
          <w:b/>
          <w:bCs w:val="0"/>
          <w:sz w:val="22"/>
          <w:szCs w:val="22"/>
        </w:rPr>
        <w:t xml:space="preserve"> </w:t>
      </w:r>
    </w:p>
    <w:p>
      <w:pPr>
        <w:pStyle w:val="21"/>
        <w:widowControl/>
        <w:rPr>
          <w:rFonts w:hint="default" w:ascii="Arial" w:hAnsi="Arial" w:cs="Arial"/>
          <w:b/>
          <w:bCs/>
          <w:sz w:val="22"/>
          <w:szCs w:val="22"/>
        </w:rPr>
      </w:pPr>
    </w:p>
    <w:p>
      <w:pPr>
        <w:pStyle w:val="21"/>
        <w:widowControl/>
        <w:rPr>
          <w:rFonts w:hint="default" w:ascii="Arial" w:hAnsi="Arial" w:cs="Arial"/>
          <w:b/>
          <w:bCs/>
          <w:sz w:val="22"/>
          <w:szCs w:val="22"/>
        </w:rPr>
      </w:pPr>
      <w:r>
        <w:rPr>
          <w:rFonts w:hint="default" w:ascii="Arial" w:hAnsi="Arial" w:cs="Arial"/>
          <w:b/>
          <w:bCs/>
          <w:sz w:val="22"/>
          <w:szCs w:val="22"/>
        </w:rPr>
        <w:t>OBJETO:</w:t>
      </w:r>
      <w:r>
        <w:rPr>
          <w:rFonts w:hint="default" w:cs="Arial"/>
          <w:b/>
          <w:bCs/>
          <w:sz w:val="22"/>
          <w:szCs w:val="22"/>
          <w:lang w:val="pt-BR"/>
        </w:rPr>
        <w:t xml:space="preserve"> </w:t>
      </w:r>
      <w:r>
        <w:rPr>
          <w:rFonts w:cs="Arial"/>
          <w:color w:val="000000" w:themeColor="text1"/>
          <w:sz w:val="22"/>
          <w:szCs w:val="22"/>
          <w:lang w:val="pt-BR"/>
          <w14:textFill>
            <w14:solidFill>
              <w14:schemeClr w14:val="tx1"/>
            </w14:solidFill>
          </w14:textFill>
        </w:rPr>
        <w:t>Contratação de empresa especializada para a elaboração do Plano de Segurança de Barragem - PSB de 4 barragens, visando o cumprimento da lei 12.334, de 20 de setembro de 2010, conforme especificações do Termo de Referência</w:t>
      </w:r>
      <w:r>
        <w:rPr>
          <w:rFonts w:cs="Arial"/>
          <w:color w:val="FF0000"/>
          <w:sz w:val="22"/>
          <w:szCs w:val="22"/>
          <w:lang w:val="pt-BR"/>
        </w:rPr>
        <w:t xml:space="preserve">. </w:t>
      </w:r>
    </w:p>
    <w:p>
      <w:pPr>
        <w:pStyle w:val="22"/>
        <w:tabs>
          <w:tab w:val="left" w:pos="1346"/>
          <w:tab w:val="clear" w:pos="567"/>
        </w:tabs>
        <w:rPr>
          <w:rFonts w:hint="default" w:ascii="Arial" w:hAnsi="Arial" w:cs="Arial"/>
          <w:sz w:val="22"/>
          <w:szCs w:val="22"/>
        </w:rPr>
      </w:pPr>
    </w:p>
    <w:p>
      <w:pPr>
        <w:pStyle w:val="22"/>
        <w:tabs>
          <w:tab w:val="left" w:pos="1346"/>
          <w:tab w:val="clear" w:pos="567"/>
        </w:tabs>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Comprovamos através da presente a capacidade técnica-operacional de nossa empresa, a saber:</w:t>
      </w:r>
    </w:p>
    <w:p>
      <w:pPr>
        <w:jc w:val="both"/>
        <w:rPr>
          <w:rFonts w:hint="default" w:ascii="Arial" w:hAnsi="Arial" w:cs="Arial"/>
          <w:sz w:val="22"/>
          <w:szCs w:val="22"/>
        </w:rPr>
      </w:pPr>
    </w:p>
    <w:tbl>
      <w:tblPr>
        <w:tblStyle w:val="17"/>
        <w:tblW w:w="95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40"/>
        <w:gridCol w:w="125"/>
        <w:gridCol w:w="287"/>
        <w:gridCol w:w="240"/>
        <w:gridCol w:w="2647"/>
        <w:gridCol w:w="100"/>
        <w:gridCol w:w="697"/>
        <w:gridCol w:w="82"/>
        <w:gridCol w:w="1041"/>
        <w:gridCol w:w="38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598" w:type="dxa"/>
            <w:tcBorders>
              <w:top w:val="single" w:color="auto" w:sz="4" w:space="0"/>
              <w:left w:val="single" w:color="auto" w:sz="4" w:space="0"/>
              <w:bottom w:val="single" w:color="auto" w:sz="4" w:space="0"/>
              <w:right w:val="single" w:color="auto" w:sz="4" w:space="0"/>
            </w:tcBorders>
            <w:shd w:val="clear" w:color="auto" w:fill="CCCCCC"/>
            <w:vAlign w:val="top"/>
          </w:tcPr>
          <w:p>
            <w:pPr>
              <w:jc w:val="both"/>
              <w:rPr>
                <w:rFonts w:hint="default" w:ascii="Arial" w:hAnsi="Arial" w:cs="Arial"/>
                <w:b/>
                <w:sz w:val="22"/>
                <w:szCs w:val="22"/>
              </w:rPr>
            </w:pPr>
            <w:r>
              <w:rPr>
                <w:rFonts w:hint="default" w:ascii="Arial" w:hAnsi="Arial" w:cs="Arial"/>
                <w:b/>
                <w:sz w:val="22"/>
                <w:szCs w:val="22"/>
              </w:rPr>
              <w:t>01</w:t>
            </w:r>
          </w:p>
        </w:tc>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Atestado (Fl.n°):</w:t>
            </w:r>
          </w:p>
        </w:tc>
        <w:tc>
          <w:tcPr>
            <w:tcW w:w="2887"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2306" w:type="dxa"/>
            <w:gridSpan w:val="5"/>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Data da Emissão:</w:t>
            </w:r>
          </w:p>
        </w:tc>
        <w:tc>
          <w:tcPr>
            <w:tcW w:w="1716" w:type="dxa"/>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052" w:type="dxa"/>
            <w:gridSpan w:val="3"/>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Profissional:</w:t>
            </w:r>
          </w:p>
        </w:tc>
        <w:tc>
          <w:tcPr>
            <w:tcW w:w="3766" w:type="dxa"/>
            <w:gridSpan w:val="5"/>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1041"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Título:</w:t>
            </w:r>
          </w:p>
        </w:tc>
        <w:tc>
          <w:tcPr>
            <w:tcW w:w="2102"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569" w:hRule="atLeast"/>
        </w:trPr>
        <w:tc>
          <w:tcPr>
            <w:tcW w:w="8961" w:type="dxa"/>
            <w:gridSpan w:val="11"/>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Atividades Técnicas Realizadas: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292" w:hRule="atLeast"/>
        </w:trPr>
        <w:tc>
          <w:tcPr>
            <w:tcW w:w="2292" w:type="dxa"/>
            <w:gridSpan w:val="4"/>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lang w:val="pt-BR"/>
              </w:rPr>
            </w:pPr>
            <w:r>
              <w:rPr>
                <w:rFonts w:hint="default" w:ascii="Arial" w:hAnsi="Arial" w:cs="Arial"/>
                <w:b/>
                <w:sz w:val="22"/>
                <w:szCs w:val="22"/>
              </w:rPr>
              <w:t xml:space="preserve">Local </w:t>
            </w:r>
            <w:r>
              <w:rPr>
                <w:rFonts w:hint="default" w:cs="Arial"/>
                <w:b/>
                <w:sz w:val="22"/>
                <w:szCs w:val="22"/>
                <w:lang w:val="pt-BR"/>
              </w:rPr>
              <w:t>do Serviço:</w:t>
            </w:r>
          </w:p>
        </w:tc>
        <w:tc>
          <w:tcPr>
            <w:tcW w:w="6669" w:type="dxa"/>
            <w:gridSpan w:val="7"/>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640"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Período:</w:t>
            </w:r>
          </w:p>
        </w:tc>
        <w:tc>
          <w:tcPr>
            <w:tcW w:w="652" w:type="dxa"/>
            <w:gridSpan w:val="3"/>
            <w:tcBorders>
              <w:top w:val="single" w:color="auto" w:sz="4" w:space="0"/>
              <w:left w:val="nil"/>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de</w:t>
            </w:r>
          </w:p>
        </w:tc>
        <w:tc>
          <w:tcPr>
            <w:tcW w:w="2747" w:type="dxa"/>
            <w:gridSpan w:val="2"/>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c>
          <w:tcPr>
            <w:tcW w:w="697" w:type="dxa"/>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à</w:t>
            </w:r>
          </w:p>
        </w:tc>
        <w:tc>
          <w:tcPr>
            <w:tcW w:w="3225" w:type="dxa"/>
            <w:gridSpan w:val="4"/>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Contratante:</w:t>
            </w:r>
          </w:p>
        </w:tc>
        <w:tc>
          <w:tcPr>
            <w:tcW w:w="7196"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598" w:type="dxa"/>
          <w:trHeight w:val="308" w:hRule="atLeast"/>
        </w:trPr>
        <w:tc>
          <w:tcPr>
            <w:tcW w:w="1765" w:type="dxa"/>
            <w:gridSpan w:val="2"/>
            <w:tcBorders>
              <w:top w:val="single" w:color="auto" w:sz="4" w:space="0"/>
              <w:left w:val="single" w:color="auto" w:sz="4" w:space="0"/>
              <w:bottom w:val="single" w:color="auto" w:sz="4" w:space="0"/>
              <w:right w:val="nil"/>
            </w:tcBorders>
            <w:vAlign w:val="top"/>
          </w:tcPr>
          <w:p>
            <w:pPr>
              <w:jc w:val="both"/>
              <w:rPr>
                <w:rFonts w:hint="default" w:ascii="Arial" w:hAnsi="Arial" w:cs="Arial"/>
                <w:b/>
                <w:sz w:val="22"/>
                <w:szCs w:val="22"/>
              </w:rPr>
            </w:pPr>
            <w:r>
              <w:rPr>
                <w:rFonts w:hint="default" w:ascii="Arial" w:hAnsi="Arial" w:cs="Arial"/>
                <w:b/>
                <w:sz w:val="22"/>
                <w:szCs w:val="22"/>
              </w:rPr>
              <w:t>Contratada:</w:t>
            </w:r>
          </w:p>
        </w:tc>
        <w:tc>
          <w:tcPr>
            <w:tcW w:w="7196" w:type="dxa"/>
            <w:gridSpan w:val="9"/>
            <w:tcBorders>
              <w:top w:val="single" w:color="auto" w:sz="4" w:space="0"/>
              <w:left w:val="nil"/>
              <w:bottom w:val="single" w:color="auto" w:sz="4" w:space="0"/>
              <w:right w:val="single" w:color="auto" w:sz="4" w:space="0"/>
            </w:tcBorders>
            <w:vAlign w:val="top"/>
          </w:tcPr>
          <w:p>
            <w:pPr>
              <w:jc w:val="both"/>
              <w:rPr>
                <w:rFonts w:hint="default" w:ascii="Arial" w:hAnsi="Arial" w:cs="Arial"/>
                <w:b/>
                <w:sz w:val="22"/>
                <w:szCs w:val="22"/>
              </w:rPr>
            </w:pPr>
          </w:p>
        </w:tc>
      </w:tr>
    </w:tbl>
    <w:p>
      <w:pPr>
        <w:jc w:val="both"/>
        <w:rPr>
          <w:rFonts w:hint="default" w:ascii="Arial" w:hAnsi="Arial" w:cs="Arial"/>
          <w:sz w:val="22"/>
          <w:szCs w:val="22"/>
        </w:rPr>
      </w:pPr>
    </w:p>
    <w:p>
      <w:pPr>
        <w:jc w:val="both"/>
        <w:rPr>
          <w:rFonts w:hint="default" w:ascii="Arial" w:hAnsi="Arial" w:cs="Arial"/>
          <w:b/>
          <w:sz w:val="22"/>
          <w:szCs w:val="22"/>
        </w:rPr>
      </w:pPr>
      <w:r>
        <w:rPr>
          <w:rFonts w:hint="default" w:ascii="Arial" w:hAnsi="Arial" w:cs="Arial"/>
          <w:b/>
          <w:sz w:val="22"/>
          <w:szCs w:val="22"/>
        </w:rPr>
        <w:t>Serviços comprovados pelo Atestado acima:</w:t>
      </w:r>
    </w:p>
    <w:p>
      <w:pPr>
        <w:jc w:val="both"/>
        <w:rPr>
          <w:rFonts w:hint="default" w:ascii="Arial" w:hAnsi="Arial" w:cs="Arial"/>
          <w:b/>
          <w:sz w:val="22"/>
          <w:szCs w:val="22"/>
        </w:rPr>
      </w:pPr>
    </w:p>
    <w:tbl>
      <w:tblPr>
        <w:tblStyle w:val="17"/>
        <w:tblW w:w="94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98"/>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6" w:type="dxa"/>
            <w:gridSpan w:val="2"/>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Serviço(s)</w:t>
            </w: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Fl.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1</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2</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3</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4</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r>
              <w:rPr>
                <w:rFonts w:hint="default" w:ascii="Arial" w:hAnsi="Arial" w:cs="Arial"/>
                <w:b/>
                <w:sz w:val="22"/>
                <w:szCs w:val="22"/>
              </w:rPr>
              <w:t>5</w:t>
            </w:r>
          </w:p>
        </w:tc>
        <w:tc>
          <w:tcPr>
            <w:tcW w:w="7698"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c>
          <w:tcPr>
            <w:tcW w:w="1055" w:type="dxa"/>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cs="Arial"/>
                <w:b/>
                <w:sz w:val="22"/>
                <w:szCs w:val="22"/>
              </w:rPr>
            </w:pPr>
          </w:p>
        </w:tc>
      </w:tr>
    </w:tbl>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lang w:val="pt-BR"/>
        </w:rPr>
      </w:pPr>
      <w:r>
        <w:rPr>
          <w:rFonts w:hint="default" w:ascii="Arial" w:hAnsi="Arial" w:cs="Arial"/>
          <w:sz w:val="22"/>
          <w:szCs w:val="22"/>
          <w:lang w:val="pt-BR"/>
        </w:rPr>
        <w:t>_______________, _____ de __________________ de 2.019.</w:t>
      </w: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sz w:val="22"/>
          <w:szCs w:val="22"/>
        </w:rPr>
        <w:t>CARIMBO, NOME E ASSINATURA DO REPRESENTANTE LEGAL</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keepLines w:val="0"/>
        <w:kinsoku/>
        <w:wordWrap/>
        <w:overflowPunct/>
        <w:topLinePunct w:val="0"/>
        <w:bidi w:val="0"/>
        <w:spacing w:after="0" w:line="240" w:lineRule="auto"/>
        <w:jc w:val="both"/>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 xml:space="preserve">XV </w:t>
      </w: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bCs w:val="0"/>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bCs w:val="0"/>
          <w:sz w:val="22"/>
          <w:szCs w:val="22"/>
          <w:lang w:val="pt-BR"/>
        </w:rPr>
        <w:t xml:space="preserve">LICITAÇÃO PRESENCIAL N° </w:t>
      </w:r>
      <w:r>
        <w:rPr>
          <w:rFonts w:hint="default" w:cs="Arial"/>
          <w:b/>
          <w:bCs w:val="0"/>
          <w:sz w:val="22"/>
          <w:szCs w:val="22"/>
          <w:lang w:val="pt-BR"/>
        </w:rPr>
        <w:t>0002</w:t>
      </w:r>
      <w:r>
        <w:rPr>
          <w:rFonts w:hint="default" w:ascii="Arial" w:hAnsi="Arial" w:cs="Arial"/>
          <w:b/>
          <w:bCs w:val="0"/>
          <w:sz w:val="22"/>
          <w:szCs w:val="22"/>
          <w:lang w:val="pt-BR"/>
        </w:rPr>
        <w:t>/2019 - MODO DE DISPUTA ABERTO</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w:t>
      </w:r>
      <w:r>
        <w:rPr>
          <w:rFonts w:hint="default" w:cs="Arial"/>
          <w:sz w:val="22"/>
          <w:szCs w:val="22"/>
          <w:lang w:val="pt-BR"/>
        </w:rPr>
        <w:t>______</w:t>
      </w:r>
      <w:r>
        <w:rPr>
          <w:rFonts w:ascii="Arial" w:hAnsi="Arial" w:cs="Arial"/>
          <w:sz w:val="22"/>
          <w:szCs w:val="22"/>
        </w:rPr>
        <w:t>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w:t>
      </w:r>
      <w:r>
        <w:rPr>
          <w:rFonts w:hint="default" w:cs="Arial"/>
          <w:sz w:val="22"/>
          <w:szCs w:val="22"/>
          <w:lang w:val="pt-BR"/>
        </w:rPr>
        <w:t>______</w:t>
      </w:r>
      <w:r>
        <w:rPr>
          <w:rFonts w:ascii="Arial" w:hAnsi="Arial" w:cs="Arial"/>
          <w:sz w:val="22"/>
          <w:szCs w:val="22"/>
        </w:rPr>
        <w:t>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w:t>
      </w:r>
      <w:r>
        <w:rPr>
          <w:rFonts w:hint="default" w:cs="Arial"/>
          <w:sz w:val="22"/>
          <w:szCs w:val="22"/>
          <w:lang w:val="pt-BR"/>
        </w:rPr>
        <w:t>______</w:t>
      </w:r>
      <w:r>
        <w:rPr>
          <w:rFonts w:ascii="Arial" w:hAnsi="Arial" w:cs="Arial"/>
          <w:sz w:val="22"/>
          <w:szCs w:val="22"/>
        </w:rPr>
        <w:t>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w:t>
      </w:r>
      <w:r>
        <w:rPr>
          <w:rFonts w:hint="default" w:cs="Arial"/>
          <w:sz w:val="22"/>
          <w:szCs w:val="22"/>
          <w:lang w:val="pt-BR"/>
        </w:rPr>
        <w:t>______</w:t>
      </w:r>
      <w:r>
        <w:rPr>
          <w:rFonts w:ascii="Arial" w:hAnsi="Arial" w:cs="Arial"/>
          <w:sz w:val="22"/>
          <w:szCs w:val="22"/>
        </w:rPr>
        <w:t>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____________</w:t>
      </w:r>
      <w:r>
        <w:rPr>
          <w:rFonts w:hint="default" w:cs="Arial"/>
          <w:sz w:val="22"/>
          <w:szCs w:val="22"/>
          <w:lang w:val="pt-BR"/>
        </w:rPr>
        <w:t>_______</w:t>
      </w:r>
      <w:r>
        <w:rPr>
          <w:rFonts w:ascii="Arial" w:hAnsi="Arial" w:cs="Arial"/>
          <w:sz w:val="22"/>
          <w:szCs w:val="22"/>
        </w:rPr>
        <w:t xml:space="preserve">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__________</w:t>
      </w:r>
      <w:r>
        <w:rPr>
          <w:rFonts w:hint="default" w:cs="Arial"/>
          <w:sz w:val="22"/>
          <w:szCs w:val="22"/>
          <w:lang w:val="pt-BR"/>
        </w:rPr>
        <w:t>______</w:t>
      </w:r>
      <w:r>
        <w:rPr>
          <w:rFonts w:ascii="Arial" w:hAnsi="Arial" w:cs="Arial"/>
          <w:sz w:val="22"/>
          <w:szCs w:val="22"/>
        </w:rPr>
        <w:t xml:space="preserve">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6"/>
          <w:rFonts w:ascii="Arial" w:hAnsi="Arial" w:cs="Arial"/>
          <w:color w:val="000000"/>
          <w:sz w:val="22"/>
          <w:szCs w:val="22"/>
          <w:u w:val="none"/>
        </w:rPr>
        <w:t>www.c</w:t>
      </w:r>
      <w:r>
        <w:rPr>
          <w:rStyle w:val="16"/>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6"/>
          <w:rFonts w:ascii="Arial" w:hAnsi="Arial" w:cs="Arial"/>
          <w:sz w:val="22"/>
          <w:szCs w:val="22"/>
        </w:rPr>
        <w:t>rformaggio@coden.com.br</w:t>
      </w:r>
      <w:r>
        <w:rPr>
          <w:rStyle w:val="16"/>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hint="default" w:ascii="Arial" w:hAnsi="Arial" w:cs="Arial"/>
          <w:sz w:val="22"/>
          <w:szCs w:val="22"/>
        </w:rPr>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dOx4JAgAAGAQAAA4AAABkcnMvZTJvRG9jLnhtbK1TTYvbMBC9F/of&#10;hO6NnZQs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98nJf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I2dOx4JAgAAGAQAAA4AAAAAAAAAAQAgAAAAHwEAAGRy&#10;cy9lMm9Eb2MueG1sUEsFBgAAAAAGAAYAWQEAAJoFAAAAAA==&#10;">
              <v:fill on="f" focussize="0,0"/>
              <v:stroke on="f" weight="0.5pt"/>
              <v:imagedata o:title=""/>
              <o:lock v:ext="edit" aspectratio="f"/>
              <v:textbox inset="0mm,0mm,0mm,0mm" style="mso-fit-shape-to-text:t;">
                <w:txbxContent>
                  <w:p>
                    <w:pPr>
                      <w:pStyle w:val="10"/>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10"/>
      <w:tabs>
        <w:tab w:val="right" w:pos="9497"/>
        <w:tab w:val="clear" w:pos="8838"/>
      </w:tabs>
      <w:ind w:left="0" w:leftChars="0" w:firstLine="0" w:firstLineChars="0"/>
      <w:jc w:val="center"/>
      <w:rPr>
        <w:rFonts w:ascii="Arial" w:hAnsi="Arial" w:cs="Arial"/>
        <w:b/>
        <w:bCs/>
        <w:color w:val="3399FF"/>
        <w:sz w:val="15"/>
        <w:szCs w:val="15"/>
      </w:rPr>
    </w:pPr>
  </w:p>
  <w:p>
    <w:pPr>
      <w:pStyle w:val="10"/>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10"/>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6"/>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10"/>
      <w:tabs>
        <w:tab w:val="right" w:pos="9497"/>
        <w:tab w:val="clear" w:pos="8838"/>
      </w:tabs>
      <w:ind w:hanging="993"/>
      <w:jc w:val="both"/>
      <w:rPr>
        <w:rFonts w:ascii="Arial" w:hAnsi="Arial" w:cs="Arial"/>
        <w:b/>
        <w:bCs/>
        <w:color w:val="3399FF"/>
        <w:sz w:val="16"/>
        <w:szCs w:val="16"/>
      </w:rPr>
    </w:pPr>
  </w:p>
  <w:p>
    <w:pPr>
      <w:pStyle w:val="6"/>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30688" behindDoc="0" locked="0" layoutInCell="1" allowOverlap="1">
              <wp:simplePos x="0" y="0"/>
              <wp:positionH relativeFrom="margin">
                <wp:posOffset>3088005</wp:posOffset>
              </wp:positionH>
              <wp:positionV relativeFrom="paragraph">
                <wp:posOffset>0</wp:posOffset>
              </wp:positionV>
              <wp:extent cx="1828800" cy="182880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65</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15pt;margin-top:0pt;height:144pt;width:144pt;mso-position-horizontal-relative:margin;mso-wrap-style:none;z-index:754930688;mso-width-relative:page;mso-height-relative:page;" filled="f" stroked="f" coordsize="21600,21600" o:gfxdata="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4i467VAAAACAEAAA8AAAAAAAAAAQAgAAAAIgAAAGRy&#10;cy9kb3ducmV2LnhtbFBLAQIUABQAAAAIAIdO4kBvkj3lCAIAABgEAAAOAAAAAAAAAAEAIAAAACQB&#10;AABkcnMvZTJvRG9jLnhtbFBLBQYAAAAABgAGAFkBAACeBQAAAAA=&#10;">
              <v:fill on="f" focussize="0,0"/>
              <v:stroke on="f" weight="0.5pt"/>
              <v:imagedata o:title=""/>
              <o:lock v:ext="edit" aspectratio="f"/>
              <v:textbox inset="0mm,0mm,0mm,0mm" style="mso-fit-shape-to-text:t;">
                <w:txbxContent>
                  <w:p>
                    <w:pPr>
                      <w:pStyle w:val="10"/>
                      <w:rPr>
                        <w:rFonts w:hint="default"/>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65</w:t>
                    </w:r>
                    <w:r>
                      <w:rPr>
                        <w:sz w:val="16"/>
                        <w:szCs w:val="16"/>
                        <w:lang w:val="pt-BR"/>
                      </w:rPr>
                      <w:fldChar w:fldCharType="end"/>
                    </w:r>
                  </w:p>
                </w:txbxContent>
              </v:textbox>
            </v:shape>
          </w:pict>
        </mc:Fallback>
      </mc:AlternateContent>
    </w:r>
  </w:p>
  <w:p>
    <w:pPr>
      <w:pStyle w:val="10"/>
      <w:tabs>
        <w:tab w:val="right" w:pos="9497"/>
        <w:tab w:val="clear" w:pos="8838"/>
      </w:tabs>
      <w:ind w:left="0" w:leftChars="0" w:firstLine="0" w:firstLineChars="0"/>
      <w:jc w:val="center"/>
      <w:rPr>
        <w:rFonts w:ascii="Arial" w:hAnsi="Arial" w:cs="Arial"/>
        <w:b/>
        <w:bCs/>
        <w:color w:val="3399FF"/>
        <w:sz w:val="15"/>
        <w:szCs w:val="15"/>
      </w:rPr>
    </w:pPr>
  </w:p>
  <w:p>
    <w:pPr>
      <w:pStyle w:val="10"/>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10"/>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6"/>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10"/>
      <w:tabs>
        <w:tab w:val="right" w:pos="9497"/>
        <w:tab w:val="clear" w:pos="8838"/>
      </w:tabs>
      <w:ind w:hanging="993"/>
      <w:jc w:val="both"/>
      <w:rPr>
        <w:rFonts w:ascii="Arial" w:hAnsi="Arial" w:cs="Arial"/>
        <w:b/>
        <w:bCs/>
        <w:color w:val="3399FF"/>
        <w:sz w:val="16"/>
        <w:szCs w:val="16"/>
      </w:rPr>
    </w:pPr>
  </w:p>
  <w:p>
    <w:pPr>
      <w:pStyle w:val="6"/>
      <w:spacing w:line="14" w:lineRule="auto"/>
      <w:rPr>
        <w:sz w:val="20"/>
      </w:rPr>
    </w:pPr>
    <w:r>
      <mc:AlternateContent>
        <mc:Choice Requires="wps">
          <w:drawing>
            <wp:anchor distT="0" distB="0" distL="114300" distR="114300" simplePos="0" relativeHeight="50326937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47104;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50326937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47104;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9"/>
      <w:jc w:val="center"/>
      <w:rPr>
        <w:i/>
        <w:iCs/>
        <w:color w:val="3399FF"/>
        <w:sz w:val="28"/>
        <w:szCs w:val="28"/>
      </w:rPr>
    </w:pPr>
  </w:p>
  <w:p>
    <w:pPr>
      <w:pStyle w:val="9"/>
      <w:jc w:val="center"/>
      <w:rPr>
        <w:i/>
        <w:iCs/>
        <w:color w:val="3399FF"/>
        <w:sz w:val="28"/>
        <w:szCs w:val="28"/>
      </w:rPr>
    </w:pPr>
    <w:r>
      <w:rPr>
        <w:i/>
        <w:iCs/>
        <w:color w:val="3399FF"/>
        <w:sz w:val="28"/>
        <w:szCs w:val="28"/>
      </w:rPr>
      <w:t>Serviço Municipal de Água e Esgoto</w:t>
    </w:r>
  </w:p>
  <w:p>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50327040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9"/>
      <w:jc w:val="center"/>
      <w:rPr>
        <w:i/>
        <w:iCs/>
        <w:color w:val="3399FF"/>
        <w:sz w:val="28"/>
        <w:szCs w:val="28"/>
      </w:rPr>
    </w:pPr>
  </w:p>
  <w:p>
    <w:pPr>
      <w:pStyle w:val="9"/>
      <w:jc w:val="center"/>
      <w:rPr>
        <w:i/>
        <w:iCs/>
        <w:color w:val="3399FF"/>
        <w:sz w:val="28"/>
        <w:szCs w:val="28"/>
      </w:rPr>
    </w:pPr>
    <w:r>
      <w:rPr>
        <w:i/>
        <w:iCs/>
        <w:color w:val="3399FF"/>
        <w:sz w:val="28"/>
        <w:szCs w:val="28"/>
      </w:rPr>
      <w:t>Serviço Municipal de Água e Esgoto</w:t>
    </w:r>
  </w:p>
  <w:p>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97124282"/>
    <w:multiLevelType w:val="singleLevel"/>
    <w:tmpl w:val="97124282"/>
    <w:lvl w:ilvl="0" w:tentative="0">
      <w:start w:val="1"/>
      <w:numFmt w:val="upperRoman"/>
      <w:suff w:val="space"/>
      <w:lvlText w:val="%1)"/>
      <w:lvlJc w:val="left"/>
    </w:lvl>
  </w:abstractNum>
  <w:abstractNum w:abstractNumId="4">
    <w:nsid w:val="B5E306ED"/>
    <w:multiLevelType w:val="multilevel"/>
    <w:tmpl w:val="B5E306ED"/>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5">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6">
    <w:nsid w:val="C90B5349"/>
    <w:multiLevelType w:val="singleLevel"/>
    <w:tmpl w:val="C90B5349"/>
    <w:lvl w:ilvl="0" w:tentative="0">
      <w:start w:val="1"/>
      <w:numFmt w:val="upperRoman"/>
      <w:suff w:val="space"/>
      <w:lvlText w:val="%1)"/>
      <w:lvlJc w:val="left"/>
    </w:lvl>
  </w:abstractNum>
  <w:abstractNum w:abstractNumId="7">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8">
    <w:nsid w:val="D65A9F5C"/>
    <w:multiLevelType w:val="singleLevel"/>
    <w:tmpl w:val="D65A9F5C"/>
    <w:lvl w:ilvl="0" w:tentative="0">
      <w:start w:val="1"/>
      <w:numFmt w:val="upperRoman"/>
      <w:suff w:val="space"/>
      <w:lvlText w:val="%1."/>
      <w:lvlJc w:val="left"/>
      <w:pPr>
        <w:ind w:left="66" w:leftChars="0" w:firstLine="0" w:firstLineChars="0"/>
      </w:pPr>
    </w:lvl>
  </w:abstractNum>
  <w:abstractNum w:abstractNumId="9">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10">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11">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2">
    <w:nsid w:val="FFFFFFFE"/>
    <w:multiLevelType w:val="singleLevel"/>
    <w:tmpl w:val="FFFFFFFE"/>
    <w:lvl w:ilvl="0" w:tentative="0">
      <w:start w:val="0"/>
      <w:numFmt w:val="decimal"/>
      <w:lvlText w:val="*"/>
      <w:lvlJc w:val="left"/>
      <w:pPr>
        <w:ind w:left="0" w:firstLine="0"/>
      </w:pPr>
    </w:lvl>
  </w:abstractNum>
  <w:abstractNum w:abstractNumId="13">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4">
    <w:nsid w:val="00D9356E"/>
    <w:multiLevelType w:val="multilevel"/>
    <w:tmpl w:val="00D93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6">
    <w:nsid w:val="03091BCF"/>
    <w:multiLevelType w:val="multilevel"/>
    <w:tmpl w:val="03091BCF"/>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03D62ECE"/>
    <w:multiLevelType w:val="multilevel"/>
    <w:tmpl w:val="03D62ECE"/>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18">
    <w:nsid w:val="08D20E66"/>
    <w:multiLevelType w:val="multilevel"/>
    <w:tmpl w:val="08D20E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D996049"/>
    <w:multiLevelType w:val="multilevel"/>
    <w:tmpl w:val="0D996049"/>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0E640482"/>
    <w:multiLevelType w:val="multilevel"/>
    <w:tmpl w:val="0E640482"/>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21">
    <w:nsid w:val="244F3351"/>
    <w:multiLevelType w:val="multilevel"/>
    <w:tmpl w:val="244F3351"/>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23">
    <w:nsid w:val="25B654F3"/>
    <w:multiLevelType w:val="multilevel"/>
    <w:tmpl w:val="25B654F3"/>
    <w:lvl w:ilvl="0" w:tentative="0">
      <w:start w:val="1"/>
      <w:numFmt w:val="upperRoman"/>
      <w:lvlText w:val="%1."/>
      <w:lvlJc w:val="left"/>
      <w:pPr>
        <w:ind w:left="1574" w:hanging="286"/>
        <w:jc w:val="left"/>
      </w:pPr>
      <w:rPr>
        <w:rFonts w:hint="default" w:ascii="Arial" w:hAnsi="Arial" w:eastAsia="Arial" w:cs="Arial"/>
        <w:w w:val="100"/>
        <w:sz w:val="24"/>
        <w:szCs w:val="24"/>
        <w:lang w:val="pt-PT" w:eastAsia="pt-PT" w:bidi="pt-PT"/>
      </w:rPr>
    </w:lvl>
    <w:lvl w:ilvl="1" w:tentative="0">
      <w:start w:val="0"/>
      <w:numFmt w:val="bullet"/>
      <w:lvlText w:val="•"/>
      <w:lvlJc w:val="left"/>
      <w:pPr>
        <w:ind w:left="2416" w:hanging="286"/>
      </w:pPr>
      <w:rPr>
        <w:rFonts w:hint="default"/>
        <w:lang w:val="pt-PT" w:eastAsia="pt-PT" w:bidi="pt-PT"/>
      </w:rPr>
    </w:lvl>
    <w:lvl w:ilvl="2" w:tentative="0">
      <w:start w:val="0"/>
      <w:numFmt w:val="bullet"/>
      <w:lvlText w:val="•"/>
      <w:lvlJc w:val="left"/>
      <w:pPr>
        <w:ind w:left="3253" w:hanging="286"/>
      </w:pPr>
      <w:rPr>
        <w:rFonts w:hint="default"/>
        <w:lang w:val="pt-PT" w:eastAsia="pt-PT" w:bidi="pt-PT"/>
      </w:rPr>
    </w:lvl>
    <w:lvl w:ilvl="3" w:tentative="0">
      <w:start w:val="0"/>
      <w:numFmt w:val="bullet"/>
      <w:lvlText w:val="•"/>
      <w:lvlJc w:val="left"/>
      <w:pPr>
        <w:ind w:left="4089" w:hanging="286"/>
      </w:pPr>
      <w:rPr>
        <w:rFonts w:hint="default"/>
        <w:lang w:val="pt-PT" w:eastAsia="pt-PT" w:bidi="pt-PT"/>
      </w:rPr>
    </w:lvl>
    <w:lvl w:ilvl="4" w:tentative="0">
      <w:start w:val="0"/>
      <w:numFmt w:val="bullet"/>
      <w:lvlText w:val="•"/>
      <w:lvlJc w:val="left"/>
      <w:pPr>
        <w:ind w:left="4926" w:hanging="286"/>
      </w:pPr>
      <w:rPr>
        <w:rFonts w:hint="default"/>
        <w:lang w:val="pt-PT" w:eastAsia="pt-PT" w:bidi="pt-PT"/>
      </w:rPr>
    </w:lvl>
    <w:lvl w:ilvl="5" w:tentative="0">
      <w:start w:val="0"/>
      <w:numFmt w:val="bullet"/>
      <w:lvlText w:val="•"/>
      <w:lvlJc w:val="left"/>
      <w:pPr>
        <w:ind w:left="5763" w:hanging="286"/>
      </w:pPr>
      <w:rPr>
        <w:rFonts w:hint="default"/>
        <w:lang w:val="pt-PT" w:eastAsia="pt-PT" w:bidi="pt-PT"/>
      </w:rPr>
    </w:lvl>
    <w:lvl w:ilvl="6" w:tentative="0">
      <w:start w:val="0"/>
      <w:numFmt w:val="bullet"/>
      <w:lvlText w:val="•"/>
      <w:lvlJc w:val="left"/>
      <w:pPr>
        <w:ind w:left="6599" w:hanging="286"/>
      </w:pPr>
      <w:rPr>
        <w:rFonts w:hint="default"/>
        <w:lang w:val="pt-PT" w:eastAsia="pt-PT" w:bidi="pt-PT"/>
      </w:rPr>
    </w:lvl>
    <w:lvl w:ilvl="7" w:tentative="0">
      <w:start w:val="0"/>
      <w:numFmt w:val="bullet"/>
      <w:lvlText w:val="•"/>
      <w:lvlJc w:val="left"/>
      <w:pPr>
        <w:ind w:left="7436" w:hanging="286"/>
      </w:pPr>
      <w:rPr>
        <w:rFonts w:hint="default"/>
        <w:lang w:val="pt-PT" w:eastAsia="pt-PT" w:bidi="pt-PT"/>
      </w:rPr>
    </w:lvl>
    <w:lvl w:ilvl="8" w:tentative="0">
      <w:start w:val="0"/>
      <w:numFmt w:val="bullet"/>
      <w:lvlText w:val="•"/>
      <w:lvlJc w:val="left"/>
      <w:pPr>
        <w:ind w:left="8273" w:hanging="286"/>
      </w:pPr>
      <w:rPr>
        <w:rFonts w:hint="default"/>
        <w:lang w:val="pt-PT" w:eastAsia="pt-PT" w:bidi="pt-PT"/>
      </w:rPr>
    </w:lvl>
  </w:abstractNum>
  <w:abstractNum w:abstractNumId="24">
    <w:nsid w:val="260E0951"/>
    <w:multiLevelType w:val="singleLevel"/>
    <w:tmpl w:val="260E0951"/>
    <w:lvl w:ilvl="0" w:tentative="0">
      <w:start w:val="1"/>
      <w:numFmt w:val="upperRoman"/>
      <w:suff w:val="space"/>
      <w:lvlText w:val="%1)"/>
      <w:lvlJc w:val="left"/>
    </w:lvl>
  </w:abstractNum>
  <w:abstractNum w:abstractNumId="25">
    <w:nsid w:val="2FE52727"/>
    <w:multiLevelType w:val="multilevel"/>
    <w:tmpl w:val="2FE52727"/>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34270454"/>
    <w:multiLevelType w:val="multilevel"/>
    <w:tmpl w:val="34270454"/>
    <w:lvl w:ilvl="0" w:tentative="0">
      <w:start w:val="1"/>
      <w:numFmt w:val="upperRoman"/>
      <w:lvlText w:val="%1."/>
      <w:lvlJc w:val="left"/>
      <w:pPr>
        <w:ind w:left="2298" w:hanging="286"/>
      </w:pPr>
      <w:rPr>
        <w:rFonts w:hint="default" w:eastAsia="Times New Roman" w:asciiTheme="minorHAnsi" w:hAnsiTheme="minorHAnsi" w:cstheme="minorHAnsi"/>
        <w:spacing w:val="-10"/>
        <w:w w:val="98"/>
        <w:sz w:val="24"/>
        <w:szCs w:val="24"/>
        <w:lang w:val="pt-BR" w:eastAsia="pt-BR" w:bidi="pt-BR"/>
      </w:rPr>
    </w:lvl>
    <w:lvl w:ilvl="1" w:tentative="0">
      <w:start w:val="1"/>
      <w:numFmt w:val="upperLetter"/>
      <w:lvlText w:val="%2."/>
      <w:lvlJc w:val="left"/>
      <w:pPr>
        <w:ind w:left="929" w:hanging="361"/>
      </w:pPr>
      <w:rPr>
        <w:rFonts w:hint="default" w:eastAsia="Times New Roman" w:asciiTheme="minorHAnsi" w:hAnsiTheme="minorHAnsi" w:cstheme="minorHAnsi"/>
        <w:spacing w:val="0"/>
        <w:w w:val="92"/>
        <w:sz w:val="24"/>
        <w:szCs w:val="24"/>
        <w:lang w:val="pt-BR" w:eastAsia="pt-BR" w:bidi="pt-BR"/>
      </w:rPr>
    </w:lvl>
    <w:lvl w:ilvl="2" w:tentative="0">
      <w:start w:val="1"/>
      <w:numFmt w:val="lowerRoman"/>
      <w:lvlText w:val="%3."/>
      <w:lvlJc w:val="left"/>
      <w:pPr>
        <w:ind w:left="3604" w:hanging="286"/>
      </w:pPr>
      <w:rPr>
        <w:rFonts w:hint="default" w:eastAsia="Times New Roman" w:asciiTheme="minorHAnsi" w:hAnsiTheme="minorHAnsi" w:cstheme="minorHAnsi"/>
        <w:spacing w:val="0"/>
        <w:w w:val="84"/>
        <w:sz w:val="24"/>
        <w:szCs w:val="24"/>
        <w:lang w:val="pt-BR" w:eastAsia="pt-BR" w:bidi="pt-BR"/>
      </w:rPr>
    </w:lvl>
    <w:lvl w:ilvl="3" w:tentative="0">
      <w:start w:val="0"/>
      <w:numFmt w:val="bullet"/>
      <w:lvlText w:val="•"/>
      <w:lvlJc w:val="left"/>
      <w:pPr>
        <w:ind w:left="4561" w:hanging="286"/>
      </w:pPr>
      <w:rPr>
        <w:lang w:val="pt-BR" w:eastAsia="pt-BR" w:bidi="pt-BR"/>
      </w:rPr>
    </w:lvl>
    <w:lvl w:ilvl="4" w:tentative="0">
      <w:start w:val="0"/>
      <w:numFmt w:val="bullet"/>
      <w:lvlText w:val="•"/>
      <w:lvlJc w:val="left"/>
      <w:pPr>
        <w:ind w:left="5522" w:hanging="286"/>
      </w:pPr>
      <w:rPr>
        <w:lang w:val="pt-BR" w:eastAsia="pt-BR" w:bidi="pt-BR"/>
      </w:rPr>
    </w:lvl>
    <w:lvl w:ilvl="5" w:tentative="0">
      <w:start w:val="0"/>
      <w:numFmt w:val="bullet"/>
      <w:lvlText w:val="•"/>
      <w:lvlJc w:val="left"/>
      <w:pPr>
        <w:ind w:left="6483" w:hanging="286"/>
      </w:pPr>
      <w:rPr>
        <w:lang w:val="pt-BR" w:eastAsia="pt-BR" w:bidi="pt-BR"/>
      </w:rPr>
    </w:lvl>
    <w:lvl w:ilvl="6" w:tentative="0">
      <w:start w:val="0"/>
      <w:numFmt w:val="bullet"/>
      <w:lvlText w:val="•"/>
      <w:lvlJc w:val="left"/>
      <w:pPr>
        <w:ind w:left="7445" w:hanging="286"/>
      </w:pPr>
      <w:rPr>
        <w:lang w:val="pt-BR" w:eastAsia="pt-BR" w:bidi="pt-BR"/>
      </w:rPr>
    </w:lvl>
    <w:lvl w:ilvl="7" w:tentative="0">
      <w:start w:val="0"/>
      <w:numFmt w:val="bullet"/>
      <w:lvlText w:val="•"/>
      <w:lvlJc w:val="left"/>
      <w:pPr>
        <w:ind w:left="8406" w:hanging="286"/>
      </w:pPr>
      <w:rPr>
        <w:lang w:val="pt-BR" w:eastAsia="pt-BR" w:bidi="pt-BR"/>
      </w:rPr>
    </w:lvl>
    <w:lvl w:ilvl="8" w:tentative="0">
      <w:start w:val="0"/>
      <w:numFmt w:val="bullet"/>
      <w:lvlText w:val="•"/>
      <w:lvlJc w:val="left"/>
      <w:pPr>
        <w:ind w:left="9367" w:hanging="286"/>
      </w:pPr>
      <w:rPr>
        <w:lang w:val="pt-BR" w:eastAsia="pt-BR" w:bidi="pt-BR"/>
      </w:rPr>
    </w:lvl>
  </w:abstractNum>
  <w:abstractNum w:abstractNumId="27">
    <w:nsid w:val="37FB48C7"/>
    <w:multiLevelType w:val="multilevel"/>
    <w:tmpl w:val="37FB48C7"/>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8">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29">
    <w:nsid w:val="407622A4"/>
    <w:multiLevelType w:val="multilevel"/>
    <w:tmpl w:val="407622A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45FD2BBC"/>
    <w:multiLevelType w:val="multilevel"/>
    <w:tmpl w:val="45FD2B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32">
    <w:nsid w:val="47D1C9AD"/>
    <w:multiLevelType w:val="singleLevel"/>
    <w:tmpl w:val="47D1C9AD"/>
    <w:lvl w:ilvl="0" w:tentative="0">
      <w:start w:val="1"/>
      <w:numFmt w:val="upperRoman"/>
      <w:suff w:val="space"/>
      <w:lvlText w:val="%1)"/>
      <w:lvlJc w:val="left"/>
    </w:lvl>
  </w:abstractNum>
  <w:abstractNum w:abstractNumId="33">
    <w:nsid w:val="49D83036"/>
    <w:multiLevelType w:val="multilevel"/>
    <w:tmpl w:val="49D83036"/>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4">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35">
    <w:nsid w:val="5E570C69"/>
    <w:multiLevelType w:val="multilevel"/>
    <w:tmpl w:val="5E570C69"/>
    <w:lvl w:ilvl="0" w:tentative="0">
      <w:start w:val="1"/>
      <w:numFmt w:val="lowerLetter"/>
      <w:lvlText w:val="%1)"/>
      <w:lvlJc w:val="left"/>
      <w:pPr>
        <w:ind w:left="1440" w:hanging="360"/>
      </w:pPr>
      <w:rPr>
        <w:rFonts w:hint="default"/>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6">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37">
    <w:nsid w:val="60D05E0D"/>
    <w:multiLevelType w:val="multilevel"/>
    <w:tmpl w:val="60D05E0D"/>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63894ABE"/>
    <w:multiLevelType w:val="multilevel"/>
    <w:tmpl w:val="63894AB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9">
    <w:nsid w:val="64435B37"/>
    <w:multiLevelType w:val="singleLevel"/>
    <w:tmpl w:val="64435B37"/>
    <w:lvl w:ilvl="0" w:tentative="0">
      <w:start w:val="1"/>
      <w:numFmt w:val="upperRoman"/>
      <w:suff w:val="space"/>
      <w:lvlText w:val="%1)"/>
      <w:lvlJc w:val="left"/>
    </w:lvl>
  </w:abstractNum>
  <w:abstractNum w:abstractNumId="40">
    <w:nsid w:val="6D56482B"/>
    <w:multiLevelType w:val="multilevel"/>
    <w:tmpl w:val="6D56482B"/>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2183CF9"/>
    <w:multiLevelType w:val="multilevel"/>
    <w:tmpl w:val="72183CF9"/>
    <w:lvl w:ilvl="0" w:tentative="0">
      <w:start w:val="1"/>
      <w:numFmt w:val="upperRoman"/>
      <w:lvlText w:val="%1."/>
      <w:lvlJc w:val="left"/>
      <w:pPr>
        <w:ind w:left="1442" w:hanging="360"/>
        <w:jc w:val="left"/>
      </w:pPr>
      <w:rPr>
        <w:rFonts w:hint="default" w:ascii="Arial" w:hAnsi="Arial" w:eastAsia="Arial" w:cs="Arial"/>
        <w:w w:val="100"/>
        <w:sz w:val="24"/>
        <w:szCs w:val="24"/>
        <w:lang w:val="pt-PT" w:eastAsia="pt-PT" w:bidi="pt-PT"/>
      </w:rPr>
    </w:lvl>
    <w:lvl w:ilvl="1" w:tentative="0">
      <w:start w:val="0"/>
      <w:numFmt w:val="bullet"/>
      <w:lvlText w:val="•"/>
      <w:lvlJc w:val="left"/>
      <w:pPr>
        <w:ind w:left="2290" w:hanging="360"/>
      </w:pPr>
      <w:rPr>
        <w:rFonts w:hint="default"/>
        <w:lang w:val="pt-PT" w:eastAsia="pt-PT" w:bidi="pt-PT"/>
      </w:rPr>
    </w:lvl>
    <w:lvl w:ilvl="2" w:tentative="0">
      <w:start w:val="0"/>
      <w:numFmt w:val="bullet"/>
      <w:lvlText w:val="•"/>
      <w:lvlJc w:val="left"/>
      <w:pPr>
        <w:ind w:left="3141" w:hanging="360"/>
      </w:pPr>
      <w:rPr>
        <w:rFonts w:hint="default"/>
        <w:lang w:val="pt-PT" w:eastAsia="pt-PT" w:bidi="pt-PT"/>
      </w:rPr>
    </w:lvl>
    <w:lvl w:ilvl="3" w:tentative="0">
      <w:start w:val="0"/>
      <w:numFmt w:val="bullet"/>
      <w:lvlText w:val="•"/>
      <w:lvlJc w:val="left"/>
      <w:pPr>
        <w:ind w:left="3991" w:hanging="360"/>
      </w:pPr>
      <w:rPr>
        <w:rFonts w:hint="default"/>
        <w:lang w:val="pt-PT" w:eastAsia="pt-PT" w:bidi="pt-PT"/>
      </w:rPr>
    </w:lvl>
    <w:lvl w:ilvl="4" w:tentative="0">
      <w:start w:val="0"/>
      <w:numFmt w:val="bullet"/>
      <w:lvlText w:val="•"/>
      <w:lvlJc w:val="left"/>
      <w:pPr>
        <w:ind w:left="4842" w:hanging="360"/>
      </w:pPr>
      <w:rPr>
        <w:rFonts w:hint="default"/>
        <w:lang w:val="pt-PT" w:eastAsia="pt-PT" w:bidi="pt-PT"/>
      </w:rPr>
    </w:lvl>
    <w:lvl w:ilvl="5" w:tentative="0">
      <w:start w:val="0"/>
      <w:numFmt w:val="bullet"/>
      <w:lvlText w:val="•"/>
      <w:lvlJc w:val="left"/>
      <w:pPr>
        <w:ind w:left="5693" w:hanging="360"/>
      </w:pPr>
      <w:rPr>
        <w:rFonts w:hint="default"/>
        <w:lang w:val="pt-PT" w:eastAsia="pt-PT" w:bidi="pt-PT"/>
      </w:rPr>
    </w:lvl>
    <w:lvl w:ilvl="6" w:tentative="0">
      <w:start w:val="0"/>
      <w:numFmt w:val="bullet"/>
      <w:lvlText w:val="•"/>
      <w:lvlJc w:val="left"/>
      <w:pPr>
        <w:ind w:left="6543" w:hanging="360"/>
      </w:pPr>
      <w:rPr>
        <w:rFonts w:hint="default"/>
        <w:lang w:val="pt-PT" w:eastAsia="pt-PT" w:bidi="pt-PT"/>
      </w:rPr>
    </w:lvl>
    <w:lvl w:ilvl="7" w:tentative="0">
      <w:start w:val="0"/>
      <w:numFmt w:val="bullet"/>
      <w:lvlText w:val="•"/>
      <w:lvlJc w:val="left"/>
      <w:pPr>
        <w:ind w:left="7394" w:hanging="360"/>
      </w:pPr>
      <w:rPr>
        <w:rFonts w:hint="default"/>
        <w:lang w:val="pt-PT" w:eastAsia="pt-PT" w:bidi="pt-PT"/>
      </w:rPr>
    </w:lvl>
    <w:lvl w:ilvl="8" w:tentative="0">
      <w:start w:val="0"/>
      <w:numFmt w:val="bullet"/>
      <w:lvlText w:val="•"/>
      <w:lvlJc w:val="left"/>
      <w:pPr>
        <w:ind w:left="8245" w:hanging="360"/>
      </w:pPr>
      <w:rPr>
        <w:rFonts w:hint="default"/>
        <w:lang w:val="pt-PT" w:eastAsia="pt-PT" w:bidi="pt-PT"/>
      </w:rPr>
    </w:lvl>
  </w:abstractNum>
  <w:abstractNum w:abstractNumId="42">
    <w:nsid w:val="77C33DCD"/>
    <w:multiLevelType w:val="multilevel"/>
    <w:tmpl w:val="77C33DC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44">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45">
    <w:nsid w:val="7E3A4EA4"/>
    <w:multiLevelType w:val="multilevel"/>
    <w:tmpl w:val="7E3A4E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7"/>
  </w:num>
  <w:num w:numId="3">
    <w:abstractNumId w:val="4"/>
  </w:num>
  <w:num w:numId="4">
    <w:abstractNumId w:val="17"/>
  </w:num>
  <w:num w:numId="5">
    <w:abstractNumId w:val="23"/>
  </w:num>
  <w:num w:numId="6">
    <w:abstractNumId w:val="41"/>
  </w:num>
  <w:num w:numId="7">
    <w:abstractNumId w:val="15"/>
  </w:num>
  <w:num w:numId="8">
    <w:abstractNumId w:val="1"/>
  </w:num>
  <w:num w:numId="9">
    <w:abstractNumId w:val="11"/>
  </w:num>
  <w:num w:numId="10">
    <w:abstractNumId w:val="22"/>
  </w:num>
  <w:num w:numId="11">
    <w:abstractNumId w:val="10"/>
  </w:num>
  <w:num w:numId="12">
    <w:abstractNumId w:val="9"/>
  </w:num>
  <w:num w:numId="13">
    <w:abstractNumId w:val="36"/>
  </w:num>
  <w:num w:numId="14">
    <w:abstractNumId w:val="27"/>
  </w:num>
  <w:num w:numId="15">
    <w:abstractNumId w:val="33"/>
  </w:num>
  <w:num w:numId="16">
    <w:abstractNumId w:val="16"/>
  </w:num>
  <w:num w:numId="17">
    <w:abstractNumId w:val="42"/>
  </w:num>
  <w:num w:numId="18">
    <w:abstractNumId w:val="39"/>
  </w:num>
  <w:num w:numId="19">
    <w:abstractNumId w:val="45"/>
  </w:num>
  <w:num w:numId="20">
    <w:abstractNumId w:val="25"/>
  </w:num>
  <w:num w:numId="21">
    <w:abstractNumId w:val="35"/>
  </w:num>
  <w:num w:numId="22">
    <w:abstractNumId w:val="40"/>
  </w:num>
  <w:num w:numId="23">
    <w:abstractNumId w:val="3"/>
  </w:num>
  <w:num w:numId="24">
    <w:abstractNumId w:val="24"/>
  </w:num>
  <w:num w:numId="25">
    <w:abstractNumId w:val="32"/>
  </w:num>
  <w:num w:numId="26">
    <w:abstractNumId w:val="38"/>
  </w:num>
  <w:num w:numId="27">
    <w:abstractNumId w:val="26"/>
    <w:lvlOverride w:ilvl="0">
      <w:startOverride w:val="1"/>
    </w:lvlOverride>
    <w:lvlOverride w:ilvl="1">
      <w:startOverride w:val="1"/>
    </w:lvlOverride>
    <w:lvlOverride w:ilvl="2">
      <w:startOverride w:val="1"/>
    </w:lvlOverride>
  </w:num>
  <w:num w:numId="28">
    <w:abstractNumId w:val="6"/>
  </w:num>
  <w:num w:numId="29">
    <w:abstractNumId w:val="19"/>
  </w:num>
  <w:num w:numId="30">
    <w:abstractNumId w:val="29"/>
  </w:num>
  <w:num w:numId="31">
    <w:abstractNumId w:val="30"/>
  </w:num>
  <w:num w:numId="32">
    <w:abstractNumId w:val="21"/>
  </w:num>
  <w:num w:numId="33">
    <w:abstractNumId w:val="14"/>
  </w:num>
  <w:num w:numId="34">
    <w:abstractNumId w:val="18"/>
  </w:num>
  <w:num w:numId="35">
    <w:abstractNumId w:val="37"/>
  </w:num>
  <w:num w:numId="36">
    <w:abstractNumId w:val="20"/>
  </w:num>
  <w:num w:numId="37">
    <w:abstractNumId w:val="31"/>
  </w:num>
  <w:num w:numId="38">
    <w:abstractNumId w:val="44"/>
  </w:num>
  <w:num w:numId="39">
    <w:abstractNumId w:val="43"/>
  </w:num>
  <w:num w:numId="40">
    <w:abstractNumId w:val="5"/>
  </w:num>
  <w:num w:numId="41">
    <w:abstractNumId w:val="2"/>
  </w:num>
  <w:num w:numId="42">
    <w:abstractNumId w:val="28"/>
  </w:num>
  <w:num w:numId="43">
    <w:abstractNumId w:val="0"/>
  </w:num>
  <w:num w:numId="44">
    <w:abstractNumId w:val="34"/>
  </w:num>
  <w:num w:numId="45">
    <w:abstractNumId w:val="12"/>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37D77"/>
    <w:rsid w:val="02C87F3F"/>
    <w:rsid w:val="038D598B"/>
    <w:rsid w:val="03CA7FE6"/>
    <w:rsid w:val="040B72AE"/>
    <w:rsid w:val="04AE3085"/>
    <w:rsid w:val="051061AB"/>
    <w:rsid w:val="06DD49C4"/>
    <w:rsid w:val="071E3B9E"/>
    <w:rsid w:val="080248F8"/>
    <w:rsid w:val="086D2AC7"/>
    <w:rsid w:val="09310764"/>
    <w:rsid w:val="09D24073"/>
    <w:rsid w:val="0A8135F7"/>
    <w:rsid w:val="0A996728"/>
    <w:rsid w:val="0B3908EF"/>
    <w:rsid w:val="0B76603D"/>
    <w:rsid w:val="0C757CC7"/>
    <w:rsid w:val="0D5D0557"/>
    <w:rsid w:val="0EA15DCA"/>
    <w:rsid w:val="0F086527"/>
    <w:rsid w:val="104B70EB"/>
    <w:rsid w:val="1079158A"/>
    <w:rsid w:val="10B33463"/>
    <w:rsid w:val="10CA5A19"/>
    <w:rsid w:val="10DB5C4D"/>
    <w:rsid w:val="115F1CB7"/>
    <w:rsid w:val="117E6B7C"/>
    <w:rsid w:val="11926378"/>
    <w:rsid w:val="11F147EE"/>
    <w:rsid w:val="127154AF"/>
    <w:rsid w:val="12A47E6A"/>
    <w:rsid w:val="13043972"/>
    <w:rsid w:val="13407525"/>
    <w:rsid w:val="134D08CC"/>
    <w:rsid w:val="13AF6A2A"/>
    <w:rsid w:val="149961E2"/>
    <w:rsid w:val="16091230"/>
    <w:rsid w:val="161C3DB0"/>
    <w:rsid w:val="16A5760B"/>
    <w:rsid w:val="16EB3008"/>
    <w:rsid w:val="17AC13DE"/>
    <w:rsid w:val="1899516A"/>
    <w:rsid w:val="1900376F"/>
    <w:rsid w:val="19C624D2"/>
    <w:rsid w:val="19F343BF"/>
    <w:rsid w:val="1AE05334"/>
    <w:rsid w:val="1B0B01B6"/>
    <w:rsid w:val="1B715620"/>
    <w:rsid w:val="1BBA54BE"/>
    <w:rsid w:val="1BC36922"/>
    <w:rsid w:val="1C4B2856"/>
    <w:rsid w:val="1CD72C83"/>
    <w:rsid w:val="1D864041"/>
    <w:rsid w:val="1DDF5620"/>
    <w:rsid w:val="1E6105F7"/>
    <w:rsid w:val="1F016EE3"/>
    <w:rsid w:val="1F476D8F"/>
    <w:rsid w:val="1FA510EB"/>
    <w:rsid w:val="1FC17FE9"/>
    <w:rsid w:val="1FD44F6D"/>
    <w:rsid w:val="20923E29"/>
    <w:rsid w:val="20B12BA4"/>
    <w:rsid w:val="22EF68A3"/>
    <w:rsid w:val="23D51D14"/>
    <w:rsid w:val="24E76BA7"/>
    <w:rsid w:val="24EA482B"/>
    <w:rsid w:val="25121873"/>
    <w:rsid w:val="25214787"/>
    <w:rsid w:val="25216F7F"/>
    <w:rsid w:val="264767BD"/>
    <w:rsid w:val="269B146E"/>
    <w:rsid w:val="26C26018"/>
    <w:rsid w:val="276D6556"/>
    <w:rsid w:val="27A5243B"/>
    <w:rsid w:val="27ED737D"/>
    <w:rsid w:val="28E57429"/>
    <w:rsid w:val="2997453B"/>
    <w:rsid w:val="2B42783E"/>
    <w:rsid w:val="2B5317EC"/>
    <w:rsid w:val="2B566CC1"/>
    <w:rsid w:val="2CB04107"/>
    <w:rsid w:val="2D1146C1"/>
    <w:rsid w:val="2D3E637F"/>
    <w:rsid w:val="2D4E3E20"/>
    <w:rsid w:val="2E436B86"/>
    <w:rsid w:val="2EC22E73"/>
    <w:rsid w:val="2ED30184"/>
    <w:rsid w:val="2EE323D3"/>
    <w:rsid w:val="2F3C2AF3"/>
    <w:rsid w:val="31541633"/>
    <w:rsid w:val="32176816"/>
    <w:rsid w:val="326C0000"/>
    <w:rsid w:val="32995709"/>
    <w:rsid w:val="330A409E"/>
    <w:rsid w:val="34E60BC4"/>
    <w:rsid w:val="35336678"/>
    <w:rsid w:val="364B76DF"/>
    <w:rsid w:val="364E497F"/>
    <w:rsid w:val="366715B5"/>
    <w:rsid w:val="377D129E"/>
    <w:rsid w:val="37F63311"/>
    <w:rsid w:val="380B43F6"/>
    <w:rsid w:val="389E484A"/>
    <w:rsid w:val="38AC0414"/>
    <w:rsid w:val="38F94DB7"/>
    <w:rsid w:val="39274F0E"/>
    <w:rsid w:val="39A502DE"/>
    <w:rsid w:val="39C161AD"/>
    <w:rsid w:val="39DB0BF0"/>
    <w:rsid w:val="3A7940F1"/>
    <w:rsid w:val="3A967309"/>
    <w:rsid w:val="3BD94C7A"/>
    <w:rsid w:val="3C8A5A62"/>
    <w:rsid w:val="3C9506F9"/>
    <w:rsid w:val="3DEB09E0"/>
    <w:rsid w:val="3F126794"/>
    <w:rsid w:val="3FBC6A71"/>
    <w:rsid w:val="3FEE25E5"/>
    <w:rsid w:val="3FF019B5"/>
    <w:rsid w:val="40B70841"/>
    <w:rsid w:val="42242894"/>
    <w:rsid w:val="4292102B"/>
    <w:rsid w:val="436109FC"/>
    <w:rsid w:val="43920793"/>
    <w:rsid w:val="43A33D5F"/>
    <w:rsid w:val="43E4256E"/>
    <w:rsid w:val="445A351B"/>
    <w:rsid w:val="447004C7"/>
    <w:rsid w:val="4499628D"/>
    <w:rsid w:val="4629134C"/>
    <w:rsid w:val="466346A6"/>
    <w:rsid w:val="468939F3"/>
    <w:rsid w:val="47C808AE"/>
    <w:rsid w:val="48276B71"/>
    <w:rsid w:val="49413367"/>
    <w:rsid w:val="494633B7"/>
    <w:rsid w:val="497470D3"/>
    <w:rsid w:val="49921B58"/>
    <w:rsid w:val="49C6561D"/>
    <w:rsid w:val="4A433097"/>
    <w:rsid w:val="4A722369"/>
    <w:rsid w:val="4B764420"/>
    <w:rsid w:val="4C1B0971"/>
    <w:rsid w:val="4CBD51D4"/>
    <w:rsid w:val="4D2F33A7"/>
    <w:rsid w:val="4D5050D5"/>
    <w:rsid w:val="4DAD6413"/>
    <w:rsid w:val="4DFD4255"/>
    <w:rsid w:val="4DFF477D"/>
    <w:rsid w:val="4E187626"/>
    <w:rsid w:val="4E4D31E4"/>
    <w:rsid w:val="4E93776A"/>
    <w:rsid w:val="507B64CD"/>
    <w:rsid w:val="511736A7"/>
    <w:rsid w:val="51DE4B70"/>
    <w:rsid w:val="51E34AED"/>
    <w:rsid w:val="52962C2E"/>
    <w:rsid w:val="53327A03"/>
    <w:rsid w:val="53A87E33"/>
    <w:rsid w:val="541D082A"/>
    <w:rsid w:val="54362CF8"/>
    <w:rsid w:val="55B04FCA"/>
    <w:rsid w:val="55E74C13"/>
    <w:rsid w:val="5662287E"/>
    <w:rsid w:val="56681991"/>
    <w:rsid w:val="566F3298"/>
    <w:rsid w:val="568735B8"/>
    <w:rsid w:val="575A7AB1"/>
    <w:rsid w:val="57D72CFE"/>
    <w:rsid w:val="57D73A21"/>
    <w:rsid w:val="58265654"/>
    <w:rsid w:val="592578AD"/>
    <w:rsid w:val="59F4463F"/>
    <w:rsid w:val="5BEE6E93"/>
    <w:rsid w:val="5D1A3A05"/>
    <w:rsid w:val="5D5032D0"/>
    <w:rsid w:val="5E963B9C"/>
    <w:rsid w:val="5ED25F6E"/>
    <w:rsid w:val="5F08154E"/>
    <w:rsid w:val="5F7C3D03"/>
    <w:rsid w:val="5FDD1023"/>
    <w:rsid w:val="5FDE74F7"/>
    <w:rsid w:val="600254B7"/>
    <w:rsid w:val="609742F2"/>
    <w:rsid w:val="60C7060B"/>
    <w:rsid w:val="60D0168F"/>
    <w:rsid w:val="618072B6"/>
    <w:rsid w:val="62AC0552"/>
    <w:rsid w:val="634078D1"/>
    <w:rsid w:val="63BE5592"/>
    <w:rsid w:val="650875CE"/>
    <w:rsid w:val="658758B3"/>
    <w:rsid w:val="65A33836"/>
    <w:rsid w:val="65AC49FE"/>
    <w:rsid w:val="65CD66F6"/>
    <w:rsid w:val="66174D74"/>
    <w:rsid w:val="663006AE"/>
    <w:rsid w:val="663A41DE"/>
    <w:rsid w:val="66836A1C"/>
    <w:rsid w:val="66B43381"/>
    <w:rsid w:val="694B7EDF"/>
    <w:rsid w:val="6A435E24"/>
    <w:rsid w:val="6A5B08D2"/>
    <w:rsid w:val="6AA55228"/>
    <w:rsid w:val="6AED1B87"/>
    <w:rsid w:val="6B25497E"/>
    <w:rsid w:val="6DBD29ED"/>
    <w:rsid w:val="6E236E59"/>
    <w:rsid w:val="6EDB55BA"/>
    <w:rsid w:val="6FF21257"/>
    <w:rsid w:val="710645F8"/>
    <w:rsid w:val="71946939"/>
    <w:rsid w:val="71BD12A1"/>
    <w:rsid w:val="73624292"/>
    <w:rsid w:val="73A87F42"/>
    <w:rsid w:val="756A44CE"/>
    <w:rsid w:val="77141320"/>
    <w:rsid w:val="77A43989"/>
    <w:rsid w:val="77AB5324"/>
    <w:rsid w:val="77CD3907"/>
    <w:rsid w:val="794C0038"/>
    <w:rsid w:val="7A701C56"/>
    <w:rsid w:val="7A8C2B49"/>
    <w:rsid w:val="7AE80F9D"/>
    <w:rsid w:val="7C6503E0"/>
    <w:rsid w:val="7D3D24A4"/>
    <w:rsid w:val="7D6E4422"/>
    <w:rsid w:val="7D786719"/>
    <w:rsid w:val="7DE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paragraph" w:styleId="3">
    <w:name w:val="heading 2"/>
    <w:basedOn w:val="1"/>
    <w:next w:val="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toc 2"/>
    <w:basedOn w:val="1"/>
    <w:next w:val="1"/>
    <w:unhideWhenUsed/>
    <w:qFormat/>
    <w:uiPriority w:val="39"/>
    <w:pPr>
      <w:spacing w:after="100"/>
      <w:ind w:left="220"/>
    </w:pPr>
  </w:style>
  <w:style w:type="paragraph" w:styleId="6">
    <w:name w:val="Body Text"/>
    <w:basedOn w:val="1"/>
    <w:qFormat/>
    <w:uiPriority w:val="1"/>
    <w:rPr>
      <w:rFonts w:ascii="Arial" w:hAnsi="Arial" w:eastAsia="Arial" w:cs="Arial"/>
      <w:sz w:val="24"/>
      <w:szCs w:val="24"/>
      <w:lang w:val="pt-PT" w:eastAsia="pt-PT" w:bidi="pt-PT"/>
    </w:rPr>
  </w:style>
  <w:style w:type="paragraph" w:styleId="7">
    <w:name w:val="annotation text"/>
    <w:basedOn w:val="1"/>
    <w:qFormat/>
    <w:uiPriority w:val="0"/>
    <w:pPr>
      <w:jc w:val="left"/>
    </w:pPr>
  </w:style>
  <w:style w:type="paragraph" w:styleId="8">
    <w:name w:val="Normal (Web)"/>
    <w:basedOn w:val="1"/>
    <w:qFormat/>
    <w:uiPriority w:val="0"/>
    <w:pPr>
      <w:suppressAutoHyphens/>
      <w:spacing w:before="280" w:after="280"/>
    </w:pPr>
    <w:rPr>
      <w:rFonts w:eastAsia="SimSun"/>
      <w:lang w:eastAsia="zh-CN"/>
    </w:rPr>
  </w:style>
  <w:style w:type="paragraph" w:styleId="9">
    <w:name w:val="header"/>
    <w:basedOn w:val="1"/>
    <w:qFormat/>
    <w:uiPriority w:val="0"/>
    <w:pPr>
      <w:tabs>
        <w:tab w:val="center" w:pos="4419"/>
        <w:tab w:val="right" w:pos="8838"/>
      </w:tabs>
    </w:pPr>
  </w:style>
  <w:style w:type="paragraph" w:styleId="10">
    <w:name w:val="footer"/>
    <w:basedOn w:val="1"/>
    <w:qFormat/>
    <w:uiPriority w:val="0"/>
    <w:pPr>
      <w:tabs>
        <w:tab w:val="center" w:pos="4419"/>
        <w:tab w:val="right" w:pos="8838"/>
      </w:tabs>
    </w:pPr>
  </w:style>
  <w:style w:type="paragraph" w:styleId="11">
    <w:name w:val="Body Text Indent 3"/>
    <w:basedOn w:val="1"/>
    <w:qFormat/>
    <w:uiPriority w:val="0"/>
    <w:pPr>
      <w:spacing w:after="120"/>
      <w:ind w:left="283"/>
    </w:pPr>
    <w:rPr>
      <w:sz w:val="16"/>
      <w:szCs w:val="16"/>
    </w:rPr>
  </w:style>
  <w:style w:type="paragraph" w:styleId="12">
    <w:name w:val="toc 3"/>
    <w:basedOn w:val="1"/>
    <w:next w:val="1"/>
    <w:unhideWhenUsed/>
    <w:qFormat/>
    <w:uiPriority w:val="39"/>
    <w:pPr>
      <w:spacing w:after="100"/>
      <w:ind w:left="440"/>
    </w:pPr>
  </w:style>
  <w:style w:type="paragraph" w:styleId="13">
    <w:name w:val="toc 1"/>
    <w:basedOn w:val="1"/>
    <w:next w:val="1"/>
    <w:unhideWhenUsed/>
    <w:qFormat/>
    <w:uiPriority w:val="39"/>
    <w:pPr>
      <w:spacing w:after="100"/>
    </w:pPr>
  </w:style>
  <w:style w:type="character" w:styleId="15">
    <w:name w:val="Strong"/>
    <w:qFormat/>
    <w:uiPriority w:val="0"/>
    <w:rPr>
      <w:b/>
      <w:bCs/>
    </w:rPr>
  </w:style>
  <w:style w:type="character" w:styleId="16">
    <w:name w:val="Hyperlink"/>
    <w:basedOn w:val="14"/>
    <w:qFormat/>
    <w:uiPriority w:val="0"/>
    <w:rPr>
      <w:color w:val="0000FF"/>
      <w:u w:val="single"/>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9">
    <w:name w:val="List Paragraph"/>
    <w:basedOn w:val="1"/>
    <w:qFormat/>
    <w:uiPriority w:val="1"/>
    <w:pPr>
      <w:ind w:left="722"/>
      <w:jc w:val="both"/>
    </w:pPr>
    <w:rPr>
      <w:rFonts w:ascii="Arial" w:hAnsi="Arial" w:eastAsia="Arial" w:cs="Arial"/>
      <w:lang w:val="pt-PT" w:eastAsia="pt-PT" w:bidi="pt-PT"/>
    </w:rPr>
  </w:style>
  <w:style w:type="paragraph" w:customStyle="1" w:styleId="20">
    <w:name w:val="Table Paragraph"/>
    <w:basedOn w:val="1"/>
    <w:qFormat/>
    <w:uiPriority w:val="1"/>
    <w:rPr>
      <w:rFonts w:ascii="Arial" w:hAnsi="Arial" w:eastAsia="Arial" w:cs="Arial"/>
      <w:lang w:val="pt-PT" w:eastAsia="pt-PT" w:bidi="pt-PT"/>
    </w:rPr>
  </w:style>
  <w:style w:type="paragraph" w:customStyle="1" w:styleId="21">
    <w:name w:val="Body Text 2"/>
    <w:basedOn w:val="1"/>
    <w:qFormat/>
    <w:uiPriority w:val="0"/>
    <w:pPr>
      <w:widowControl w:val="0"/>
      <w:jc w:val="both"/>
    </w:pPr>
    <w:rPr>
      <w:sz w:val="24"/>
    </w:rPr>
  </w:style>
  <w:style w:type="paragraph" w:customStyle="1" w:styleId="22">
    <w:name w:val="Titulo"/>
    <w:basedOn w:val="1"/>
    <w:qFormat/>
    <w:uiPriority w:val="0"/>
    <w:pPr>
      <w:tabs>
        <w:tab w:val="left" w:pos="567"/>
      </w:tabs>
      <w:suppressAutoHyphens w:val="0"/>
      <w:jc w:val="both"/>
    </w:pPr>
    <w:rPr>
      <w:b/>
      <w:sz w:val="24"/>
      <w:lang w:eastAsia="pt-BR"/>
    </w:rPr>
  </w:style>
  <w:style w:type="paragraph" w:customStyle="1" w:styleId="23">
    <w:name w:val="Sem Espaçamento1"/>
    <w:qFormat/>
    <w:uiPriority w:val="0"/>
    <w:rPr>
      <w:rFonts w:ascii="Calibri" w:hAnsi="Calibri" w:eastAsia="Calibri" w:cs="Times New Roman"/>
      <w:sz w:val="22"/>
      <w:szCs w:val="22"/>
      <w:lang w:val="pt-BR" w:eastAsia="en-US" w:bidi="ar-SA"/>
    </w:rPr>
  </w:style>
  <w:style w:type="paragraph" w:customStyle="1" w:styleId="24">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5">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6">
    <w:name w:val="TOC Heading"/>
    <w:basedOn w:val="2"/>
    <w:next w:val="1"/>
    <w:unhideWhenUsed/>
    <w:qFormat/>
    <w:uiPriority w:val="39"/>
    <w:pPr>
      <w:outlineLvl w:val="9"/>
    </w:pPr>
    <w:rPr>
      <w:lang w:eastAsia="pt-BR"/>
    </w:rPr>
  </w:style>
  <w:style w:type="table" w:customStyle="1" w:styleId="27">
    <w:name w:val="Table Normal"/>
    <w:semiHidden/>
    <w:qFormat/>
    <w:uiPriority w:val="2"/>
    <w:pPr>
      <w:widowControl w:val="0"/>
      <w:autoSpaceDE w:val="0"/>
      <w:autoSpaceDN w:val="0"/>
      <w:spacing w:after="0" w:line="240" w:lineRule="auto"/>
    </w:pPr>
    <w:rPr>
      <w:lang w:val="en-US"/>
    </w:rPr>
    <w:tblPr>
      <w:tblLayout w:type="fixed"/>
      <w:tblCellMar>
        <w:top w:w="0" w:type="dxa"/>
        <w:left w:w="0" w:type="dxa"/>
        <w:bottom w:w="0" w:type="dxa"/>
        <w:right w:w="0" w:type="dxa"/>
      </w:tblCellMar>
    </w:tblPr>
  </w:style>
  <w:style w:type="paragraph" w:customStyle="1" w:styleId="28">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9">
    <w:name w:val="Cabeçalho do Sumário1"/>
    <w:basedOn w:val="2"/>
    <w:next w:val="1"/>
    <w:unhideWhenUsed/>
    <w:qFormat/>
    <w:uiPriority w:val="39"/>
    <w:pPr>
      <w:outlineLvl w:val="9"/>
    </w:pPr>
    <w:rPr>
      <w:lang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ScaleCrop>false</ScaleCrop>
  <LinksUpToDate>false</LinksUpToDate>
  <Application>WPS Office_11.2.0.8893_F1E327BC-269C-435d-A152-05C5408002CA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2019-04-25T19:39:00Z</cp:lastPrinted>
  <dcterms:modified xsi:type="dcterms:W3CDTF">2019-08-14T14:10:05Z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1046-11.2.0.8893</vt:lpwstr>
  </property>
</Properties>
</file>